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B11" w:rsidP="00E71B11">
      <w:pPr>
        <w:pStyle w:val="Title"/>
      </w:pPr>
      <w:r>
        <w:fldChar w:fldCharType="begin"/>
      </w:r>
      <w:r>
        <w:instrText xml:space="preserve"> TITLE   \* MERGEFORMAT </w:instrText>
      </w:r>
      <w:r>
        <w:fldChar w:fldCharType="separate"/>
      </w:r>
      <w:r>
        <w:t>PMC552053C Finish cured concrete products</w:t>
      </w:r>
      <w:r>
        <w:fldChar w:fldCharType="end"/>
      </w:r>
    </w:p>
    <w:p w:rsidR="00E71B11" w:rsidP="00E71B11">
      <w:pPr>
        <w:pStyle w:val="Version"/>
        <w:sectPr w:rsidSect="00293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3D51" w:rsidP="00293D51">
      <w:pPr>
        <w:pStyle w:val="SuperHeading"/>
      </w:pPr>
      <w:r w:rsidRPr="00293D51">
        <w:t>PMC552053C Finish cured concrete products</w:t>
      </w:r>
    </w:p>
    <w:p w:rsidR="00000000" w:rsidRPr="00293D51" w:rsidP="00293D51">
      <w:pPr>
        <w:pStyle w:val="SuperHeading"/>
      </w:pPr>
    </w:p>
    <w:p w:rsidR="00000000" w:rsidRPr="00293D51" w:rsidP="00293D51">
      <w:pPr>
        <w:pStyle w:val="Heading1"/>
      </w:pPr>
      <w:bookmarkStart w:id="1" w:name="O_110307"/>
      <w:bookmarkEnd w:id="1"/>
      <w:r w:rsidRPr="00293D51">
        <w:t>Modification History</w:t>
      </w:r>
    </w:p>
    <w:p w:rsidR="00000000" w:rsidRPr="00293D51" w:rsidP="00293D51">
      <w:pPr>
        <w:pStyle w:val="BodyText"/>
      </w:pPr>
      <w:r w:rsidRPr="00293D51">
        <w:t>Not applicable.</w:t>
      </w:r>
    </w:p>
    <w:p w:rsidR="00000000" w:rsidRPr="00293D51" w:rsidP="00293D51">
      <w:pPr>
        <w:pStyle w:val="AllowPageBreak"/>
      </w:pPr>
    </w:p>
    <w:p w:rsidR="00000000" w:rsidRPr="00293D51" w:rsidP="00293D51">
      <w:pPr>
        <w:pStyle w:val="Heading1"/>
      </w:pPr>
      <w:bookmarkStart w:id="2" w:name="O_110308"/>
      <w:bookmarkEnd w:id="2"/>
      <w:r w:rsidRPr="00293D51">
        <w:t>Unit Descriptor</w:t>
      </w:r>
    </w:p>
    <w:tbl>
      <w:tblPr>
        <w:tblW w:w="0" w:type="auto"/>
        <w:tblLayout w:type="fixed"/>
        <w:tblCellMar>
          <w:left w:w="62" w:type="dxa"/>
          <w:right w:w="62" w:type="dxa"/>
        </w:tblCellMar>
        <w:tblLook w:val="0000"/>
      </w:tblPr>
      <w:tblGrid>
        <w:gridCol w:w="2669"/>
        <w:gridCol w:w="5853"/>
      </w:tblGrid>
      <w:tr w:rsidTr="00E71B1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This unit of competency covers the finishing of cured concrete products. It involves checking and preparing</w:t>
            </w:r>
            <w:r w:rsidRPr="00293D51">
              <w:t xml:space="preserve"> surfaces, finishing surfaces, cleaning and sealing surfaces and identifying and resolving process malfunctions.</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3" w:name="O_110309"/>
      <w:bookmarkEnd w:id="3"/>
      <w:r w:rsidRPr="00293D51">
        <w:t>Application of the Unit</w:t>
      </w:r>
    </w:p>
    <w:tbl>
      <w:tblPr>
        <w:tblW w:w="0" w:type="auto"/>
        <w:tblLayout w:type="fixed"/>
        <w:tblCellMar>
          <w:left w:w="62" w:type="dxa"/>
          <w:right w:w="62" w:type="dxa"/>
        </w:tblCellMar>
        <w:tblLook w:val="0000"/>
      </w:tblPr>
      <w:tblGrid>
        <w:gridCol w:w="2745"/>
        <w:gridCol w:w="5777"/>
      </w:tblGrid>
      <w:tr w:rsidTr="00E71B1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 xml:space="preserve">This unit of competency applies to operators in a concrete plant who are responsible for finishing manufactured concrete products after they have been cured. </w:t>
            </w:r>
          </w:p>
          <w:p w:rsidR="00000000" w:rsidRPr="00293D51" w:rsidP="00293D51">
            <w:pPr>
              <w:pStyle w:val="BodyText"/>
            </w:pPr>
            <w:r w:rsidRPr="00293D51">
              <w:t>This unit includes, but is not restricted to:</w:t>
            </w:r>
          </w:p>
          <w:p w:rsidR="00000000" w:rsidRPr="00293D51" w:rsidP="00293D51">
            <w:pPr>
              <w:pStyle w:val="ListBullet"/>
            </w:pPr>
            <w:r w:rsidRPr="00293D51">
              <w:t>all finishes applied to concrete after curing such</w:t>
            </w:r>
            <w:r w:rsidRPr="00293D51">
              <w:t xml:space="preserve"> as:</w:t>
            </w:r>
          </w:p>
          <w:p w:rsidR="00000000" w:rsidRPr="00293D51" w:rsidP="00293D51">
            <w:pPr>
              <w:pStyle w:val="ListBullet2"/>
            </w:pPr>
            <w:r w:rsidRPr="00293D51">
              <w:t>blasting</w:t>
            </w:r>
          </w:p>
          <w:p w:rsidR="00000000" w:rsidRPr="00293D51" w:rsidP="00293D51">
            <w:pPr>
              <w:pStyle w:val="ListBullet2"/>
            </w:pPr>
            <w:r w:rsidRPr="00293D51">
              <w:t>honing</w:t>
            </w:r>
          </w:p>
          <w:p w:rsidR="00000000" w:rsidRPr="00293D51" w:rsidP="00293D51">
            <w:pPr>
              <w:pStyle w:val="ListBullet2"/>
            </w:pPr>
            <w:r w:rsidRPr="00293D51">
              <w:t>polishing</w:t>
            </w:r>
          </w:p>
          <w:p w:rsidR="00000000" w:rsidRPr="00293D51" w:rsidP="00293D51">
            <w:pPr>
              <w:pStyle w:val="ListBullet2"/>
            </w:pPr>
            <w:r w:rsidRPr="00293D51">
              <w:t>etching</w:t>
            </w:r>
          </w:p>
          <w:p w:rsidR="00000000" w:rsidRPr="00293D51" w:rsidP="00293D51">
            <w:pPr>
              <w:pStyle w:val="ListBullet2"/>
            </w:pPr>
            <w:r w:rsidRPr="00293D51">
              <w:t>sealing</w:t>
            </w:r>
          </w:p>
          <w:p w:rsidR="00000000" w:rsidRPr="00293D51" w:rsidP="00293D51">
            <w:pPr>
              <w:pStyle w:val="ListBullet2"/>
            </w:pPr>
            <w:r w:rsidRPr="00293D51">
              <w:t>painting</w:t>
            </w:r>
          </w:p>
          <w:p w:rsidR="00000000" w:rsidRPr="00293D51" w:rsidP="00293D51">
            <w:pPr>
              <w:pStyle w:val="ListBullet2"/>
            </w:pPr>
            <w:r w:rsidRPr="00293D51">
              <w:t>grit and sand blasting</w:t>
            </w:r>
          </w:p>
          <w:p w:rsidR="00000000" w:rsidRPr="00293D51" w:rsidP="00293D51">
            <w:pPr>
              <w:pStyle w:val="ListBullet2"/>
            </w:pPr>
            <w:r w:rsidRPr="00293D51">
              <w:t>graffiti treatments</w:t>
            </w:r>
          </w:p>
          <w:p w:rsidR="00000000" w:rsidRPr="00293D51" w:rsidP="00293D51">
            <w:pPr>
              <w:pStyle w:val="ListBullet2"/>
            </w:pPr>
            <w:r w:rsidRPr="00293D51">
              <w:t>sprayed finishes on cured concrete</w:t>
            </w:r>
          </w:p>
          <w:p w:rsidR="00000000" w:rsidRPr="00293D51" w:rsidP="00293D51">
            <w:pPr>
              <w:pStyle w:val="ListBullet2"/>
            </w:pPr>
            <w:r w:rsidRPr="00293D51">
              <w:t>acid etching</w:t>
            </w:r>
          </w:p>
          <w:p w:rsidR="00000000" w:rsidRPr="00293D51" w:rsidP="00293D51">
            <w:pPr>
              <w:pStyle w:val="ListBullet"/>
            </w:pPr>
            <w:r w:rsidRPr="00293D51">
              <w:t>routine housekeeping and maintenance of equipment and area</w:t>
            </w:r>
          </w:p>
          <w:p w:rsidR="00000000" w:rsidRPr="00293D51" w:rsidP="00293D51">
            <w:pPr>
              <w:pStyle w:val="ListBullet"/>
            </w:pPr>
            <w:r w:rsidRPr="00293D51">
              <w:t>the operation of all ancillary equipment.</w:t>
            </w:r>
          </w:p>
          <w:p w:rsidR="00000000" w:rsidRPr="00293D51" w:rsidP="00293D51">
            <w:pPr>
              <w:pStyle w:val="BodyText"/>
            </w:pPr>
            <w:r w:rsidRPr="00293D51">
              <w:t>This competency is typically performed by operators working either independently or as part of a work team.</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4" w:name="O_110310"/>
      <w:bookmarkEnd w:id="4"/>
      <w:r w:rsidRPr="00293D51">
        <w:t>Licensing/Regulatory Information</w:t>
      </w:r>
    </w:p>
    <w:p w:rsidR="00000000" w:rsidRPr="00293D51" w:rsidP="00293D51">
      <w:pPr>
        <w:pStyle w:val="BodyText"/>
      </w:pPr>
      <w:r w:rsidRPr="00293D51">
        <w:t>Not applicable.</w:t>
      </w:r>
    </w:p>
    <w:p w:rsidR="00000000" w:rsidRPr="00293D51" w:rsidP="00293D51">
      <w:pPr>
        <w:pStyle w:val="AllowPageBreak"/>
      </w:pPr>
    </w:p>
    <w:p w:rsidR="00000000" w:rsidRPr="00293D51" w:rsidP="00293D51">
      <w:pPr>
        <w:pStyle w:val="Heading1"/>
      </w:pPr>
      <w:bookmarkStart w:id="5" w:name="O_110311"/>
      <w:bookmarkEnd w:id="5"/>
      <w:r w:rsidRPr="00293D51">
        <w:t>Pre-Requisites</w:t>
      </w:r>
    </w:p>
    <w:tbl>
      <w:tblPr>
        <w:tblW w:w="0" w:type="auto"/>
        <w:tblLayout w:type="fixed"/>
        <w:tblCellMar>
          <w:left w:w="62" w:type="dxa"/>
          <w:right w:w="62" w:type="dxa"/>
        </w:tblCellMar>
        <w:tblLook w:val="0000"/>
      </w:tblPr>
      <w:tblGrid>
        <w:gridCol w:w="2775"/>
        <w:gridCol w:w="1295"/>
        <w:gridCol w:w="4452"/>
      </w:tblGrid>
      <w:tr w:rsidTr="00E71B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p>
        </w:tc>
      </w:tr>
      <w:tr w:rsidTr="00E71B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p>
        </w:tc>
      </w:tr>
      <w:tr w:rsidTr="00E71B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6" w:name="O_110312"/>
      <w:bookmarkEnd w:id="6"/>
      <w:r w:rsidRPr="00293D51">
        <w:t>Employability Skills Information</w:t>
      </w:r>
    </w:p>
    <w:tbl>
      <w:tblPr>
        <w:tblW w:w="0" w:type="auto"/>
        <w:tblLayout w:type="fixed"/>
        <w:tblCellMar>
          <w:left w:w="62" w:type="dxa"/>
          <w:right w:w="62" w:type="dxa"/>
        </w:tblCellMar>
        <w:tblLook w:val="0000"/>
      </w:tblPr>
      <w:tblGrid>
        <w:gridCol w:w="2802"/>
        <w:gridCol w:w="5720"/>
      </w:tblGrid>
      <w:tr w:rsidTr="00E71B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This unit contains employability skills.</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7" w:name="O_110313"/>
      <w:bookmarkEnd w:id="7"/>
      <w:r w:rsidRPr="00293D51">
        <w:t>Elements and Performance Criteria Pre-Content</w:t>
      </w:r>
    </w:p>
    <w:tbl>
      <w:tblPr>
        <w:tblW w:w="0" w:type="auto"/>
        <w:tblLayout w:type="fixed"/>
        <w:tblCellMar>
          <w:left w:w="62" w:type="dxa"/>
          <w:right w:w="62" w:type="dxa"/>
        </w:tblCellMar>
        <w:tblLook w:val="0000"/>
      </w:tblPr>
      <w:tblGrid>
        <w:gridCol w:w="2579"/>
        <w:gridCol w:w="5943"/>
      </w:tblGrid>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 xml:space="preserve">Performance criteria describe </w:t>
            </w:r>
            <w:r w:rsidRPr="00293D51">
              <w:t>the performance needed to demonstrate achievement of the element. Where bold italicised text is used, further information is detailed in the required skills and knowledge section and the range statement. Assessment of performance is to be consistent with t</w:t>
            </w:r>
            <w:r w:rsidRPr="00293D51">
              <w:t>he evidence guide.</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8" w:name="O_110314"/>
      <w:bookmarkEnd w:id="8"/>
      <w:r w:rsidRPr="00293D51">
        <w:t>Elements and Performance Criteria</w:t>
      </w:r>
    </w:p>
    <w:tbl>
      <w:tblPr>
        <w:tblW w:w="0" w:type="auto"/>
        <w:tblLayout w:type="fixed"/>
        <w:tblCellMar>
          <w:left w:w="62" w:type="dxa"/>
          <w:right w:w="62" w:type="dxa"/>
        </w:tblCellMar>
        <w:tblLook w:val="0000"/>
      </w:tblPr>
      <w:tblGrid>
        <w:gridCol w:w="2579"/>
        <w:gridCol w:w="5943"/>
      </w:tblGrid>
      <w:tr w:rsidTr="00E71B1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PERFORMANCE CRITERIA</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1.</w:t>
            </w:r>
            <w:r w:rsidRPr="00293D51">
              <w:tab/>
              <w:t>Check product prior to finishing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1.1.</w:t>
            </w:r>
            <w:r w:rsidRPr="00293D51">
              <w:tab/>
              <w:t>Check product identity and finish required</w:t>
            </w:r>
          </w:p>
          <w:p w:rsidR="00000000" w:rsidRPr="00293D51" w:rsidP="00293D51">
            <w:pPr>
              <w:pStyle w:val="List2"/>
            </w:pPr>
            <w:r w:rsidRPr="00293D51">
              <w:t>1.2.</w:t>
            </w:r>
            <w:r w:rsidRPr="00293D51">
              <w:tab/>
              <w:t>Check product has been cured and is ready for finishing</w:t>
            </w:r>
          </w:p>
          <w:p w:rsidR="00000000" w:rsidRPr="00293D51" w:rsidP="00293D51">
            <w:pPr>
              <w:pStyle w:val="List2"/>
            </w:pPr>
            <w:r w:rsidRPr="00293D51">
              <w:t>1.3.</w:t>
            </w:r>
            <w:r w:rsidRPr="00293D51">
              <w:tab/>
            </w:r>
            <w:r w:rsidRPr="00293D51">
              <w:t>Check type and size of aggregate and any special characteristics of concrete mix</w:t>
            </w:r>
          </w:p>
          <w:p w:rsidR="00000000" w:rsidRPr="00293D51" w:rsidP="00293D51">
            <w:pPr>
              <w:pStyle w:val="List2"/>
            </w:pPr>
            <w:r w:rsidRPr="00293D51">
              <w:t>1.4.</w:t>
            </w:r>
            <w:r w:rsidRPr="00293D51">
              <w:tab/>
              <w:t>Check for handling and other damage and report if necessary</w:t>
            </w:r>
          </w:p>
          <w:p w:rsidR="00000000" w:rsidP="00293D51">
            <w:pPr>
              <w:pStyle w:val="List2"/>
              <w:rPr>
                <w:lang w:val="en-NZ"/>
              </w:rPr>
            </w:pPr>
            <w:r w:rsidRPr="00293D51">
              <w:t>1.5.</w:t>
            </w:r>
            <w:r w:rsidRPr="00293D51">
              <w:tab/>
              <w:t>Set up finishing process as required</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2.</w:t>
            </w:r>
            <w:r w:rsidRPr="00293D51">
              <w:tab/>
              <w:t>Undertake initial finishing as required</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2.1.</w:t>
            </w:r>
            <w:r w:rsidRPr="00293D51">
              <w:tab/>
            </w:r>
            <w:r w:rsidRPr="00293D51">
              <w:t>Perform initial finishing over product surface</w:t>
            </w:r>
          </w:p>
          <w:p w:rsidR="00000000" w:rsidRPr="00293D51" w:rsidP="00293D51">
            <w:pPr>
              <w:pStyle w:val="List2"/>
            </w:pPr>
            <w:r w:rsidRPr="00293D51">
              <w:t>2.2.</w:t>
            </w:r>
            <w:r w:rsidRPr="00293D51">
              <w:tab/>
              <w:t>Check for consistency, flatness and that other requirements have been met</w:t>
            </w:r>
          </w:p>
          <w:p w:rsidR="00000000" w:rsidP="00293D51">
            <w:pPr>
              <w:pStyle w:val="List2"/>
              <w:rPr>
                <w:lang w:val="en-NZ"/>
              </w:rPr>
            </w:pPr>
            <w:r w:rsidRPr="00293D51">
              <w:t>2.3.</w:t>
            </w:r>
            <w:r w:rsidRPr="00293D51">
              <w:tab/>
              <w:t>Report products which are outside specification or which may not be able to be correctly finished</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3.</w:t>
            </w:r>
            <w:r w:rsidRPr="00293D51">
              <w:tab/>
              <w:t>Finish surface as requi</w:t>
            </w:r>
            <w:r w:rsidRPr="00293D51">
              <w:t>red</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3.1.</w:t>
            </w:r>
            <w:r w:rsidRPr="00293D51">
              <w:tab/>
              <w:t>Adjust finishing process as required</w:t>
            </w:r>
          </w:p>
          <w:p w:rsidR="00000000" w:rsidRPr="00293D51" w:rsidP="00293D51">
            <w:pPr>
              <w:pStyle w:val="List2"/>
            </w:pPr>
            <w:r w:rsidRPr="00293D51">
              <w:t>3.2.</w:t>
            </w:r>
            <w:r w:rsidRPr="00293D51">
              <w:tab/>
              <w:t>Monitor progress of finishing and readjust as required</w:t>
            </w:r>
          </w:p>
          <w:p w:rsidR="00000000" w:rsidP="00293D51">
            <w:pPr>
              <w:pStyle w:val="List2"/>
              <w:rPr>
                <w:lang w:val="en-NZ"/>
              </w:rPr>
            </w:pPr>
            <w:r w:rsidRPr="00293D51">
              <w:t>3.3.</w:t>
            </w:r>
            <w:r w:rsidRPr="00293D51">
              <w:tab/>
              <w:t>Continue finishing until surface meets specification</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4.</w:t>
            </w:r>
            <w:r w:rsidRPr="00293D51">
              <w:tab/>
              <w:t>Clean and seal coat as required</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4.1.</w:t>
            </w:r>
            <w:r w:rsidRPr="00293D51">
              <w:tab/>
              <w:t>Clean finished surface as required</w:t>
            </w:r>
          </w:p>
          <w:p w:rsidR="00000000" w:rsidRPr="00293D51" w:rsidP="00293D51">
            <w:pPr>
              <w:pStyle w:val="List2"/>
            </w:pPr>
            <w:r w:rsidRPr="00293D51">
              <w:t>4.2.</w:t>
            </w:r>
            <w:r w:rsidRPr="00293D51">
              <w:tab/>
              <w:t>Apply seale</w:t>
            </w:r>
            <w:r w:rsidRPr="00293D51">
              <w:t>r coat as required</w:t>
            </w:r>
          </w:p>
          <w:p w:rsidR="00000000" w:rsidRPr="00293D51" w:rsidP="00293D51">
            <w:pPr>
              <w:pStyle w:val="List2"/>
            </w:pPr>
            <w:r w:rsidRPr="00293D51">
              <w:t>4.3.</w:t>
            </w:r>
            <w:r w:rsidRPr="00293D51">
              <w:tab/>
              <w:t>Monitor and adjust sealer coating thickness against relevant specification</w:t>
            </w:r>
          </w:p>
          <w:p w:rsidR="00000000" w:rsidP="00293D51">
            <w:pPr>
              <w:pStyle w:val="List2"/>
              <w:rPr>
                <w:lang w:val="en-NZ"/>
              </w:rPr>
            </w:pPr>
            <w:r w:rsidRPr="00293D51">
              <w:t>4.4.</w:t>
            </w:r>
            <w:r w:rsidRPr="00293D51">
              <w:tab/>
              <w:t>Lift unit into store in accordance with occupational health and safety (OHS) requirements and support on protective pads</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5.</w:t>
            </w:r>
            <w:r w:rsidRPr="00293D51">
              <w:tab/>
              <w:t>Rectify routine problems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5.1.</w:t>
            </w:r>
            <w:r w:rsidRPr="00293D51">
              <w:tab/>
              <w:t>Identify the range of faults that can occur during the operation</w:t>
            </w:r>
          </w:p>
          <w:p w:rsidR="00000000" w:rsidRPr="00293D51" w:rsidP="00293D51">
            <w:pPr>
              <w:pStyle w:val="List2"/>
            </w:pPr>
            <w:r w:rsidRPr="00293D51">
              <w:t>5.2.</w:t>
            </w:r>
            <w:r w:rsidRPr="00293D51">
              <w:tab/>
              <w:t>Determine and rectify fault causes in accordance with procedures/work instructions</w:t>
            </w:r>
          </w:p>
          <w:p w:rsidR="00000000" w:rsidRPr="00293D51" w:rsidP="00293D51">
            <w:pPr>
              <w:pStyle w:val="List2"/>
            </w:pPr>
            <w:r w:rsidRPr="00293D51">
              <w:t>5.3.</w:t>
            </w:r>
            <w:r w:rsidRPr="00293D51">
              <w:tab/>
              <w:t>Identify and rectify equipment failure causes in accordance with procedures/work instructions</w:t>
            </w:r>
          </w:p>
          <w:p w:rsidR="00000000" w:rsidRPr="00293D51" w:rsidP="00293D51">
            <w:pPr>
              <w:pStyle w:val="List2"/>
            </w:pPr>
            <w:r w:rsidRPr="00293D51">
              <w:t>5.4.</w:t>
            </w:r>
            <w:r w:rsidRPr="00293D51">
              <w:tab/>
              <w:t>Ensure appropriate records and log books of equipment operations are maintained to meet procedures/work instructions</w:t>
            </w:r>
          </w:p>
          <w:p w:rsidR="00000000" w:rsidP="00293D51">
            <w:pPr>
              <w:pStyle w:val="List2"/>
              <w:rPr>
                <w:lang w:val="en-NZ"/>
              </w:rPr>
            </w:pPr>
            <w:r w:rsidRPr="00293D51">
              <w:t>5.5.</w:t>
            </w:r>
            <w:r w:rsidRPr="00293D51">
              <w:tab/>
              <w:t>Identify non-routine problems and report to designated person</w:t>
            </w:r>
          </w:p>
        </w:tc>
      </w:tr>
      <w:tr w:rsidTr="00E71B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List"/>
              <w:rPr>
                <w:lang w:val="en-NZ"/>
              </w:rPr>
            </w:pPr>
            <w:r w:rsidRPr="00293D51">
              <w:t>6.</w:t>
            </w:r>
            <w:r w:rsidRPr="00293D51">
              <w:tab/>
              <w:t>Control hazards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List2"/>
            </w:pPr>
            <w:r w:rsidRPr="00293D51">
              <w:t>6.1.</w:t>
            </w:r>
            <w:r w:rsidRPr="00293D51">
              <w:tab/>
              <w:t>Identify hazards from the job to be done</w:t>
            </w:r>
          </w:p>
          <w:p w:rsidR="00000000" w:rsidRPr="00293D51" w:rsidP="00293D51">
            <w:pPr>
              <w:pStyle w:val="List2"/>
            </w:pPr>
            <w:r w:rsidRPr="00293D51">
              <w:t>6.2.</w:t>
            </w:r>
            <w:r w:rsidRPr="00293D51">
              <w:tab/>
              <w:t>Identify other hazards in the work area</w:t>
            </w:r>
          </w:p>
          <w:p w:rsidR="00000000" w:rsidRPr="00293D51" w:rsidP="00293D51">
            <w:pPr>
              <w:pStyle w:val="List2"/>
            </w:pPr>
            <w:r w:rsidRPr="00293D51">
              <w:t>6.3.</w:t>
            </w:r>
            <w:r w:rsidRPr="00293D51">
              <w:tab/>
              <w:t>Assess the risks arising from those hazards</w:t>
            </w:r>
          </w:p>
          <w:p w:rsidR="00000000" w:rsidRPr="00293D51" w:rsidP="00293D51">
            <w:pPr>
              <w:pStyle w:val="List2"/>
            </w:pPr>
            <w:r w:rsidRPr="00293D51">
              <w:t>6.4.</w:t>
            </w:r>
            <w:r w:rsidRPr="00293D51">
              <w:tab/>
              <w:t>Implement measures to control those risks in line with procedures</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9" w:name="O_110315"/>
      <w:bookmarkEnd w:id="9"/>
      <w:r w:rsidRPr="00293D51">
        <w:t>Required Skills and Knowledge</w:t>
      </w:r>
    </w:p>
    <w:tbl>
      <w:tblPr>
        <w:tblW w:w="0" w:type="auto"/>
        <w:tblLayout w:type="fixed"/>
        <w:tblCellMar>
          <w:left w:w="62" w:type="dxa"/>
          <w:right w:w="62" w:type="dxa"/>
        </w:tblCellMar>
        <w:tblLook w:val="0000"/>
      </w:tblPr>
      <w:tblGrid>
        <w:gridCol w:w="8522"/>
      </w:tblGrid>
      <w:tr w:rsidTr="00E71B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REQUIRED SKILLS AND KNOWLEDGE</w:t>
            </w:r>
          </w:p>
        </w:tc>
      </w:tr>
      <w:tr w:rsidTr="00E71B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This section describes the skills and knowledge required for this unit.</w:t>
            </w:r>
          </w:p>
        </w:tc>
      </w:tr>
      <w:tr w:rsidTr="00E7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Required skills</w:t>
            </w:r>
          </w:p>
        </w:tc>
      </w:tr>
      <w:tr w:rsidTr="00E7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Required skills include:</w:t>
            </w:r>
          </w:p>
          <w:p w:rsidR="00000000" w:rsidRPr="00293D51" w:rsidP="00293D51">
            <w:pPr>
              <w:pStyle w:val="ListBullet"/>
            </w:pPr>
            <w:r w:rsidRPr="00293D51">
              <w:t>recognising conditions which will lead to variations to the finishing process and taking appropriate action</w:t>
            </w:r>
          </w:p>
          <w:p w:rsidR="00000000" w:rsidRPr="00293D51" w:rsidP="00293D51">
            <w:pPr>
              <w:pStyle w:val="ListBullet"/>
            </w:pPr>
            <w:r w:rsidRPr="00293D51">
              <w:t>implementing the enterprise's procedures within time constraints and in a manner relevant to the operation of the equipment used</w:t>
            </w:r>
          </w:p>
          <w:p w:rsidR="00000000" w:rsidRPr="00293D51" w:rsidP="00293D51">
            <w:pPr>
              <w:pStyle w:val="ListBullet"/>
            </w:pPr>
            <w:r w:rsidRPr="00293D51">
              <w:t>conveying information relevant to the operation clearly and effectively</w:t>
            </w:r>
          </w:p>
          <w:p w:rsidR="00000000" w:rsidP="00293D51">
            <w:pPr>
              <w:pStyle w:val="ListBullet"/>
              <w:rPr>
                <w:lang w:val="en-NZ"/>
              </w:rPr>
            </w:pPr>
            <w:r w:rsidRPr="00293D51">
              <w:t>reading and numeracy to interpret workplace documents a</w:t>
            </w:r>
            <w:r w:rsidRPr="00293D51">
              <w:t>nd technical information</w:t>
            </w:r>
          </w:p>
        </w:tc>
      </w:tr>
      <w:tr w:rsidTr="00E7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Required knowledge</w:t>
            </w:r>
          </w:p>
        </w:tc>
      </w:tr>
      <w:tr w:rsidTr="00E7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Required knowledge includes:</w:t>
            </w:r>
          </w:p>
          <w:p w:rsidR="00000000" w:rsidRPr="00293D51" w:rsidP="00293D51">
            <w:pPr>
              <w:pStyle w:val="ListBullet"/>
            </w:pPr>
            <w:r w:rsidRPr="00293D51">
              <w:t>principles of concrete product formation</w:t>
            </w:r>
          </w:p>
          <w:p w:rsidR="00000000" w:rsidRPr="00293D51" w:rsidP="00293D51">
            <w:pPr>
              <w:pStyle w:val="ListBullet"/>
            </w:pPr>
            <w:r w:rsidRPr="00293D51">
              <w:t>principles of concrete finishing</w:t>
            </w:r>
          </w:p>
          <w:p w:rsidR="00000000" w:rsidRPr="00293D51" w:rsidP="00293D51">
            <w:pPr>
              <w:pStyle w:val="ListBullet"/>
            </w:pPr>
            <w:r w:rsidRPr="00293D51">
              <w:t>distinguish between causes of faults such as:</w:t>
            </w:r>
          </w:p>
          <w:p w:rsidR="00000000" w:rsidRPr="00293D51" w:rsidP="00293D51">
            <w:pPr>
              <w:pStyle w:val="ListBullet2"/>
            </w:pPr>
            <w:r w:rsidRPr="00293D51">
              <w:t>material inconsistencies</w:t>
            </w:r>
          </w:p>
          <w:p w:rsidR="00000000" w:rsidRPr="00293D51" w:rsidP="00293D51">
            <w:pPr>
              <w:pStyle w:val="ListBullet2"/>
            </w:pPr>
            <w:r w:rsidRPr="00293D51">
              <w:t>product variation</w:t>
            </w:r>
          </w:p>
          <w:p w:rsidR="00000000" w:rsidRPr="00293D51" w:rsidP="00293D51">
            <w:pPr>
              <w:pStyle w:val="ListBullet2"/>
            </w:pPr>
            <w:r w:rsidRPr="00293D51">
              <w:t>finishing difficulties</w:t>
            </w:r>
          </w:p>
          <w:p w:rsidR="00000000" w:rsidRPr="00293D51" w:rsidP="00293D51">
            <w:pPr>
              <w:pStyle w:val="ListBullet2"/>
            </w:pPr>
            <w:r w:rsidRPr="00293D51">
              <w:t>handling difficulties</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10" w:name="O_110316"/>
      <w:bookmarkEnd w:id="10"/>
      <w:r w:rsidRPr="00293D51">
        <w:t>Evidence Guide</w:t>
      </w:r>
    </w:p>
    <w:tbl>
      <w:tblPr>
        <w:tblW w:w="9570" w:type="dxa"/>
        <w:tblLayout w:type="fixed"/>
        <w:tblCellMar>
          <w:left w:w="62" w:type="dxa"/>
          <w:right w:w="62" w:type="dxa"/>
        </w:tblCellMar>
        <w:tblLook w:val="0000"/>
      </w:tblPr>
      <w:tblGrid>
        <w:gridCol w:w="3908"/>
        <w:gridCol w:w="5662"/>
      </w:tblGrid>
      <w:tr w:rsidTr="00E71B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EVIDENCE GUIDE</w:t>
            </w:r>
          </w:p>
        </w:tc>
      </w:tr>
      <w:tr w:rsidTr="00E71B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 xml:space="preserve">The Evidence Guide provides advice on assessment and must be read in conjunction with the performance criteria, required skills and knowledge, </w:t>
            </w:r>
            <w:r w:rsidRPr="00293D51">
              <w:t>range statement and the Assessment Guidelines for the Training Package.</w:t>
            </w:r>
          </w:p>
        </w:tc>
      </w:tr>
      <w:tr w:rsidTr="00E7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 xml:space="preserve">The unit will be assessed in as holistic a manner as is practical and may be integrated with the assessment of other relevant units of competency. </w:t>
            </w:r>
          </w:p>
        </w:tc>
      </w:tr>
      <w:tr w:rsidTr="00E7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Critical a</w:t>
            </w:r>
            <w:r w:rsidRPr="00293D51">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It is essential that the process be understood and that the importance of critical material properties and surface finishing techniques is known. Competence must be demonstr</w:t>
            </w:r>
            <w:r w:rsidRPr="00293D51">
              <w:t>ated in the ability to recognise and analyse potential situations requiring action and then in implementing appropriate corrective action.</w:t>
            </w:r>
          </w:p>
          <w:p w:rsidR="00000000" w:rsidRPr="00293D51" w:rsidP="00293D51">
            <w:pPr>
              <w:pStyle w:val="BodyText"/>
            </w:pPr>
            <w:r w:rsidRPr="00293D51">
              <w:t>Consistent performance should be demonstrated. In particular look to see that:</w:t>
            </w:r>
          </w:p>
          <w:p w:rsidR="00000000" w:rsidRPr="00293D51" w:rsidP="00293D51">
            <w:pPr>
              <w:pStyle w:val="ListBullet"/>
            </w:pPr>
            <w:r w:rsidRPr="00293D51">
              <w:t xml:space="preserve">surface finish matches specification </w:t>
            </w:r>
            <w:r w:rsidRPr="00293D51">
              <w:t>and is consistent</w:t>
            </w:r>
          </w:p>
          <w:p w:rsidR="00000000" w:rsidRPr="00293D51" w:rsidP="00293D51">
            <w:pPr>
              <w:pStyle w:val="ListBullet"/>
            </w:pPr>
            <w:r w:rsidRPr="00293D51">
              <w:t>progress is continuously monitored and final finish is approached smoothly and confidently</w:t>
            </w:r>
          </w:p>
          <w:p w:rsidR="00000000" w:rsidRPr="00293D51" w:rsidP="00293D51">
            <w:pPr>
              <w:pStyle w:val="ListBullet"/>
            </w:pPr>
            <w:r w:rsidRPr="00293D51">
              <w:t>finished surface is cleaned and sealed as required.</w:t>
            </w:r>
          </w:p>
          <w:p w:rsidR="00000000" w:rsidP="00293D51">
            <w:pPr>
              <w:pStyle w:val="BodyText"/>
              <w:rPr>
                <w:lang w:val="en-NZ"/>
              </w:rPr>
            </w:pPr>
            <w:r w:rsidRPr="00293D51">
              <w:t>Competence must be demonstrated in the operation of all ancillary equipment to the level required for this unit of competency.</w:t>
            </w:r>
          </w:p>
        </w:tc>
      </w:tr>
      <w:tr w:rsidTr="00E7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Assessment will require access to an operating plant over an extended period of</w:t>
            </w:r>
            <w:r w:rsidRPr="00293D51">
              <w:t xml:space="preserve"> time, or a suitable method of gathering evidence of operating ability over a range of situations. </w:t>
            </w:r>
          </w:p>
          <w:p w:rsidR="00000000" w:rsidRPr="00293D51" w:rsidP="00293D51">
            <w:pPr>
              <w:pStyle w:val="BodyText"/>
            </w:pPr>
            <w:r w:rsidRPr="00293D51">
              <w:t>Assessment will occur over a range of situations which will include disruptions to normal, smooth operation.</w:t>
            </w:r>
          </w:p>
          <w:p w:rsidR="00000000" w:rsidP="00293D51">
            <w:pPr>
              <w:pStyle w:val="BodyText"/>
              <w:rPr>
                <w:lang w:val="en-NZ"/>
              </w:rPr>
            </w:pPr>
            <w:r w:rsidRPr="00293D51">
              <w:t>Simulation or case studies/scenarios may be req</w:t>
            </w:r>
            <w:r w:rsidRPr="00293D51">
              <w:t>uired to allow for timely assessment of parts of this unit of competency. Simulation should be based on the actual plant and will include 'walk-throughs' of the relevant competency components. A bank of scenarios/case studies/what ifs and questions will be</w:t>
            </w:r>
            <w:r w:rsidRPr="00293D51">
              <w:t xml:space="preserve"> required to probe the reasoning behind observable actions.</w:t>
            </w:r>
          </w:p>
        </w:tc>
      </w:tr>
      <w:tr w:rsidTr="00E7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Individual enterprises may choose to add prerequisites and co-requisites relevant to their processes.</w:t>
            </w:r>
          </w:p>
        </w:tc>
      </w:tr>
      <w:tr w:rsidTr="00E7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Assessment processes and techniques</w:t>
            </w:r>
            <w:r w:rsidRPr="00293D51">
              <w:t xml:space="preserve"> must be culturally appropriate and appropriate to the language and literacy capacity of the candidate and the work being performed.</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11" w:name="O_110317"/>
      <w:bookmarkEnd w:id="11"/>
      <w:r w:rsidRPr="00293D51">
        <w:t>Range Statement</w:t>
      </w:r>
    </w:p>
    <w:tbl>
      <w:tblPr>
        <w:tblW w:w="0" w:type="auto"/>
        <w:tblLayout w:type="fixed"/>
        <w:tblCellMar>
          <w:left w:w="62" w:type="dxa"/>
          <w:right w:w="62" w:type="dxa"/>
        </w:tblCellMar>
        <w:tblLook w:val="0000"/>
      </w:tblPr>
      <w:tblGrid>
        <w:gridCol w:w="3517"/>
        <w:gridCol w:w="5005"/>
      </w:tblGrid>
      <w:tr w:rsidTr="00E71B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RANGE STATEMENT</w:t>
            </w:r>
          </w:p>
        </w:tc>
      </w:tr>
      <w:tr w:rsidTr="00E71B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The range statement relates to the unit of competency as a whole. It allows for different work environments and situations that may affect performance. Bold italicised wording, if used in the performance criteria, is detailed below. Essential operating con</w:t>
            </w:r>
            <w:r w:rsidRPr="00293D51">
              <w:t>ditions that may be present with training and assessment (depending on the work situation, needs of the candidate, accessibility of the item, and local industry and regional contexts) may also be included.</w:t>
            </w:r>
          </w:p>
        </w:tc>
      </w:tr>
      <w:tr w:rsidTr="00E71B1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t>All operations are performed in accordance with standard procedures and work instructions</w:t>
            </w:r>
          </w:p>
        </w:tc>
      </w:tr>
      <w:tr w:rsidTr="00E71B11">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OHS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The identification and control of hazards and the application of OHS to be in accordance with current, applicable legislation and regulations, and company proced</w:t>
            </w:r>
            <w:r w:rsidRPr="00293D51">
              <w:t>ures. All work is carried out at all times in accordance with these requirements</w:t>
            </w:r>
          </w:p>
        </w:tc>
      </w:tr>
    </w:tbl>
    <w:p w:rsidR="00E71B11" w:rsidP="00293D51">
      <w:pPr>
        <w:pStyle w:val="BodyText"/>
      </w:pPr>
    </w:p>
    <w:p w:rsidR="00E71B11" w:rsidP="00293D51">
      <w:pPr>
        <w:pStyle w:val="BodyText"/>
      </w:pPr>
    </w:p>
    <w:p w:rsidR="00000000" w:rsidRPr="00293D51" w:rsidP="00293D51">
      <w:pPr>
        <w:pStyle w:val="Heading1"/>
      </w:pPr>
      <w:bookmarkStart w:id="12" w:name="O_110318"/>
      <w:bookmarkEnd w:id="12"/>
      <w:r w:rsidRPr="00293D51">
        <w:t>Unit Sector(s)</w:t>
      </w:r>
    </w:p>
    <w:tbl>
      <w:tblPr>
        <w:tblW w:w="0" w:type="auto"/>
        <w:tblLayout w:type="fixed"/>
        <w:tblCellMar>
          <w:left w:w="62" w:type="dxa"/>
          <w:right w:w="62" w:type="dxa"/>
        </w:tblCellMar>
        <w:tblLook w:val="0000"/>
      </w:tblPr>
      <w:tblGrid>
        <w:gridCol w:w="2567"/>
        <w:gridCol w:w="5955"/>
      </w:tblGrid>
      <w:tr w:rsidTr="00E71B1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r w:rsidRPr="00293D51">
              <w:t>Operational/technical</w:t>
            </w: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13" w:name="O_160153"/>
      <w:bookmarkEnd w:id="13"/>
      <w:r w:rsidRPr="00293D51">
        <w:t>Competency field</w:t>
      </w:r>
    </w:p>
    <w:tbl>
      <w:tblPr>
        <w:tblW w:w="0" w:type="auto"/>
        <w:tblLayout w:type="fixed"/>
        <w:tblCellMar>
          <w:left w:w="62" w:type="dxa"/>
          <w:right w:w="62" w:type="dxa"/>
        </w:tblCellMar>
        <w:tblLook w:val="0000"/>
      </w:tblPr>
      <w:tblGrid>
        <w:gridCol w:w="2784"/>
        <w:gridCol w:w="5738"/>
      </w:tblGrid>
      <w:tr w:rsidTr="00E71B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p>
        </w:tc>
      </w:tr>
    </w:tbl>
    <w:p w:rsidR="00000000" w:rsidRPr="00293D51" w:rsidP="00293D51">
      <w:pPr>
        <w:pStyle w:val="BodyText"/>
      </w:pPr>
    </w:p>
    <w:p w:rsidR="00000000" w:rsidRPr="00293D51" w:rsidP="00293D51">
      <w:pPr>
        <w:pStyle w:val="AllowPageBreak"/>
      </w:pPr>
    </w:p>
    <w:p w:rsidR="00000000" w:rsidRPr="00293D51" w:rsidP="00293D51">
      <w:pPr>
        <w:pStyle w:val="Heading1"/>
      </w:pPr>
      <w:bookmarkStart w:id="14" w:name="O_160152"/>
      <w:bookmarkEnd w:id="14"/>
      <w:r w:rsidRPr="00293D51">
        <w:t>Co-requisite units</w:t>
      </w:r>
    </w:p>
    <w:tbl>
      <w:tblPr>
        <w:tblW w:w="0" w:type="auto"/>
        <w:tblLayout w:type="fixed"/>
        <w:tblCellMar>
          <w:left w:w="62" w:type="dxa"/>
          <w:right w:w="62" w:type="dxa"/>
        </w:tblCellMar>
        <w:tblLook w:val="0000"/>
      </w:tblPr>
      <w:tblGrid>
        <w:gridCol w:w="2641"/>
        <w:gridCol w:w="1322"/>
        <w:gridCol w:w="4559"/>
      </w:tblGrid>
      <w:tr w:rsidTr="00E71B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r w:rsidRPr="00293D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p>
        </w:tc>
      </w:tr>
      <w:tr w:rsidTr="00E7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D51">
            <w:pPr>
              <w:pStyle w:val="BodyText"/>
              <w:rPr>
                <w:lang w:val="en-NZ"/>
              </w:rPr>
            </w:pPr>
          </w:p>
        </w:tc>
      </w:tr>
      <w:tr w:rsidTr="00E7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D51" w:rsidP="00293D51">
            <w:pPr>
              <w:pStyle w:val="BodyText"/>
            </w:pPr>
          </w:p>
        </w:tc>
      </w:tr>
    </w:tbl>
    <w:p w:rsidR="00000000" w:rsidRPr="00293D51" w:rsidP="00293D51">
      <w:pPr>
        <w:pStyle w:val="BodyText"/>
      </w:pPr>
    </w:p>
    <w:p w:rsidR="00000000" w:rsidRPr="00293D51" w:rsidP="00293D51"/>
    <w:sectPr w:rsidSect="00293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B11" w:rsidP="00E71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11" w:rsidP="00293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1B11" w:rsidP="00293D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1B11" w:rsidP="00293D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B11" w:rsidP="00E71B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B11" w:rsidP="00293D51">
    <w:pPr>
      <w:pStyle w:val="Header"/>
      <w:framePr w:wrap="around"/>
    </w:pPr>
    <w:r>
      <w:fldChar w:fldCharType="begin"/>
    </w:r>
    <w:r>
      <w:instrText xml:space="preserve"> TITLE   \* MERGEFORMAT </w:instrText>
    </w:r>
    <w:r>
      <w:fldChar w:fldCharType="separate"/>
    </w:r>
    <w:r>
      <w:t>PMC552053C Finish cured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1B11" w:rsidP="00293D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6E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2D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AA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D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D51"/>
    <w:pPr>
      <w:spacing w:before="360" w:after="60"/>
      <w:outlineLvl w:val="0"/>
    </w:pPr>
    <w:rPr>
      <w:sz w:val="32"/>
    </w:rPr>
  </w:style>
  <w:style w:type="paragraph" w:styleId="Heading2">
    <w:name w:val="heading 2"/>
    <w:basedOn w:val="HeadingBase"/>
    <w:next w:val="BodyText"/>
    <w:link w:val="Heading2Char"/>
    <w:qFormat/>
    <w:rsid w:val="00293D51"/>
    <w:pPr>
      <w:keepLines/>
      <w:spacing w:before="240" w:after="120"/>
      <w:outlineLvl w:val="1"/>
    </w:pPr>
    <w:rPr>
      <w:sz w:val="28"/>
      <w:szCs w:val="40"/>
    </w:rPr>
  </w:style>
  <w:style w:type="paragraph" w:styleId="Heading3">
    <w:name w:val="heading 3"/>
    <w:basedOn w:val="HeadingBase"/>
    <w:next w:val="BodyText"/>
    <w:link w:val="Heading3Char"/>
    <w:qFormat/>
    <w:rsid w:val="00293D51"/>
    <w:pPr>
      <w:spacing w:before="180" w:after="120"/>
      <w:outlineLvl w:val="2"/>
    </w:pPr>
    <w:rPr>
      <w:spacing w:val="-10"/>
      <w:kern w:val="32"/>
    </w:rPr>
  </w:style>
  <w:style w:type="paragraph" w:styleId="Heading4">
    <w:name w:val="heading 4"/>
    <w:basedOn w:val="HeadingBase"/>
    <w:next w:val="BodyText"/>
    <w:link w:val="Heading4Char"/>
    <w:qFormat/>
    <w:rsid w:val="00293D51"/>
    <w:pPr>
      <w:spacing w:before="160" w:after="120"/>
      <w:outlineLvl w:val="3"/>
    </w:pPr>
    <w:rPr>
      <w:sz w:val="22"/>
    </w:rPr>
  </w:style>
  <w:style w:type="paragraph" w:styleId="Heading5">
    <w:name w:val="heading 5"/>
    <w:basedOn w:val="HeadingBase"/>
    <w:next w:val="Normal"/>
    <w:link w:val="Heading5Char"/>
    <w:qFormat/>
    <w:rsid w:val="00293D51"/>
    <w:pPr>
      <w:spacing w:before="80"/>
      <w:outlineLvl w:val="4"/>
    </w:pPr>
    <w:rPr>
      <w:color w:val="918585"/>
      <w:sz w:val="20"/>
    </w:rPr>
  </w:style>
  <w:style w:type="paragraph" w:styleId="Heading6">
    <w:name w:val="heading 6"/>
    <w:basedOn w:val="HeadingBase"/>
    <w:next w:val="Normal"/>
    <w:link w:val="Heading6Char"/>
    <w:qFormat/>
    <w:rsid w:val="00293D51"/>
    <w:pPr>
      <w:spacing w:before="60"/>
      <w:outlineLvl w:val="5"/>
    </w:pPr>
    <w:rPr>
      <w:color w:val="918585"/>
      <w:sz w:val="20"/>
    </w:rPr>
  </w:style>
  <w:style w:type="paragraph" w:styleId="Heading7">
    <w:name w:val="heading 7"/>
    <w:basedOn w:val="Normal"/>
    <w:next w:val="Normal"/>
    <w:link w:val="Heading7Char"/>
    <w:qFormat/>
    <w:rsid w:val="00293D51"/>
    <w:pPr>
      <w:ind w:left="720"/>
      <w:outlineLvl w:val="6"/>
    </w:pPr>
    <w:rPr>
      <w:i/>
    </w:rPr>
  </w:style>
  <w:style w:type="paragraph" w:styleId="Heading8">
    <w:name w:val="heading 8"/>
    <w:basedOn w:val="Normal"/>
    <w:next w:val="Normal"/>
    <w:link w:val="Heading8Char"/>
    <w:qFormat/>
    <w:rsid w:val="00293D51"/>
    <w:pPr>
      <w:ind w:left="720"/>
      <w:outlineLvl w:val="7"/>
    </w:pPr>
    <w:rPr>
      <w:i/>
    </w:rPr>
  </w:style>
  <w:style w:type="paragraph" w:styleId="Heading9">
    <w:name w:val="heading 9"/>
    <w:basedOn w:val="Normal"/>
    <w:next w:val="Normal"/>
    <w:link w:val="Heading9Char"/>
    <w:qFormat/>
    <w:rsid w:val="00293D51"/>
    <w:pPr>
      <w:ind w:left="720"/>
      <w:outlineLvl w:val="8"/>
    </w:pPr>
    <w:rPr>
      <w:i/>
    </w:rPr>
  </w:style>
  <w:style w:type="character" w:default="1" w:styleId="DefaultParagraphFont">
    <w:name w:val="Default Paragraph Font"/>
    <w:uiPriority w:val="1"/>
    <w:unhideWhenUsed/>
    <w:rsid w:val="00293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D51"/>
  </w:style>
  <w:style w:type="character" w:customStyle="1" w:styleId="Heading1Char">
    <w:name w:val="Heading 1 Char"/>
    <w:basedOn w:val="DefaultParagraphFont"/>
    <w:link w:val="Heading1"/>
    <w:rsid w:val="00293D51"/>
    <w:rPr>
      <w:rFonts w:ascii="Times New Roman" w:eastAsia="Times New Roman" w:hAnsi="Times New Roman" w:cs="Times New Roman"/>
      <w:b/>
      <w:sz w:val="32"/>
      <w:szCs w:val="20"/>
      <w:lang w:eastAsia="en-US"/>
    </w:rPr>
  </w:style>
  <w:style w:type="paragraph" w:styleId="BodyText">
    <w:name w:val="Body Text"/>
    <w:basedOn w:val="Normal"/>
    <w:link w:val="BodyTextChar"/>
    <w:rsid w:val="00293D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D51"/>
    <w:rPr>
      <w:rFonts w:ascii="Times New Roman" w:eastAsia="Times New Roman" w:hAnsi="Times New Roman" w:cs="Times New Roman"/>
      <w:sz w:val="24"/>
      <w:lang w:val="en-US" w:eastAsia="en-US"/>
    </w:rPr>
  </w:style>
  <w:style w:type="paragraph" w:styleId="Footer">
    <w:name w:val="footer"/>
    <w:basedOn w:val="Normal"/>
    <w:link w:val="FooterChar"/>
    <w:rsid w:val="00293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D51"/>
    <w:rPr>
      <w:rFonts w:ascii="Times New Roman" w:eastAsia="Times New Roman" w:hAnsi="Times New Roman" w:cs="Times New Roman"/>
      <w:sz w:val="16"/>
      <w:lang w:val="en-US" w:eastAsia="en-US"/>
    </w:rPr>
  </w:style>
  <w:style w:type="paragraph" w:styleId="List">
    <w:name w:val="List"/>
    <w:basedOn w:val="BodyText"/>
    <w:next w:val="BodyText"/>
    <w:rsid w:val="00293D51"/>
    <w:pPr>
      <w:tabs>
        <w:tab w:val="left" w:pos="340"/>
      </w:tabs>
      <w:spacing w:before="60" w:after="60"/>
      <w:ind w:left="340" w:hanging="340"/>
    </w:pPr>
  </w:style>
  <w:style w:type="paragraph" w:styleId="ListBullet">
    <w:name w:val="List Bullet"/>
    <w:basedOn w:val="List"/>
    <w:rsid w:val="00293D51"/>
    <w:pPr>
      <w:numPr>
        <w:numId w:val="13"/>
      </w:numPr>
      <w:tabs>
        <w:tab w:val="clear" w:pos="340"/>
      </w:tabs>
      <w:spacing w:before="40" w:after="40"/>
    </w:pPr>
  </w:style>
  <w:style w:type="character" w:customStyle="1" w:styleId="SpecialBold">
    <w:name w:val="Special Bold"/>
    <w:basedOn w:val="DefaultParagraphFont"/>
    <w:rsid w:val="00293D51"/>
    <w:rPr>
      <w:b/>
      <w:spacing w:val="0"/>
    </w:rPr>
  </w:style>
  <w:style w:type="paragraph" w:styleId="ListBullet2">
    <w:name w:val="List Bullet 2"/>
    <w:basedOn w:val="List2"/>
    <w:rsid w:val="00293D51"/>
    <w:pPr>
      <w:numPr>
        <w:numId w:val="14"/>
      </w:numPr>
      <w:tabs>
        <w:tab w:val="clear" w:pos="680"/>
      </w:tabs>
    </w:pPr>
  </w:style>
  <w:style w:type="paragraph" w:styleId="Header">
    <w:name w:val="header"/>
    <w:basedOn w:val="Normal"/>
    <w:link w:val="HeaderChar"/>
    <w:rsid w:val="00293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D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3D51"/>
    <w:pPr>
      <w:spacing w:before="240" w:after="120"/>
      <w:outlineLvl w:val="0"/>
    </w:pPr>
    <w:rPr>
      <w:rFonts w:ascii="Times New Roman" w:hAnsi="Times New Roman"/>
      <w:b/>
      <w:sz w:val="28"/>
    </w:rPr>
  </w:style>
  <w:style w:type="paragraph" w:customStyle="1" w:styleId="AllowPageBreak">
    <w:name w:val="AllowPageBreak"/>
    <w:rsid w:val="00293D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D51"/>
    <w:pPr>
      <w:tabs>
        <w:tab w:val="left" w:pos="680"/>
      </w:tabs>
      <w:spacing w:before="60" w:after="60"/>
      <w:ind w:left="680" w:hanging="340"/>
    </w:pPr>
  </w:style>
  <w:style w:type="character" w:customStyle="1" w:styleId="Heading2Char">
    <w:name w:val="Heading 2 Char"/>
    <w:basedOn w:val="DefaultParagraphFont"/>
    <w:link w:val="Heading2"/>
    <w:rsid w:val="00293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D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D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D51"/>
    <w:rPr>
      <w:rFonts w:ascii="Courier New" w:eastAsia="Times New Roman" w:hAnsi="Courier New" w:cs="Times New Roman"/>
      <w:i/>
      <w:szCs w:val="20"/>
      <w:lang w:val="en-US" w:eastAsia="en-US"/>
    </w:rPr>
  </w:style>
  <w:style w:type="paragraph" w:customStyle="1" w:styleId="HeadingBase">
    <w:name w:val="Heading Base"/>
    <w:rsid w:val="00293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D51"/>
    <w:pPr>
      <w:tabs>
        <w:tab w:val="right" w:leader="dot" w:pos="9072"/>
      </w:tabs>
      <w:ind w:left="567"/>
    </w:pPr>
    <w:rPr>
      <w:szCs w:val="22"/>
    </w:rPr>
  </w:style>
  <w:style w:type="paragraph" w:customStyle="1" w:styleId="TOCBase">
    <w:name w:val="TOC Base"/>
    <w:rsid w:val="00293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D51"/>
    <w:pPr>
      <w:tabs>
        <w:tab w:val="right" w:leader="dot" w:pos="9072"/>
      </w:tabs>
      <w:spacing w:before="40" w:after="40"/>
      <w:ind w:left="284"/>
    </w:pPr>
    <w:rPr>
      <w:rFonts w:ascii="Times New Roman" w:hAnsi="Times New Roman"/>
    </w:rPr>
  </w:style>
  <w:style w:type="paragraph" w:styleId="TOC1">
    <w:name w:val="toc 1"/>
    <w:basedOn w:val="TOCBase"/>
    <w:next w:val="Normal"/>
    <w:rsid w:val="00293D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D51"/>
    <w:pPr>
      <w:spacing w:before="5040"/>
      <w:jc w:val="center"/>
    </w:pPr>
    <w:rPr>
      <w:sz w:val="48"/>
      <w:szCs w:val="72"/>
      <w:lang w:val="en-US"/>
    </w:rPr>
  </w:style>
  <w:style w:type="character" w:customStyle="1" w:styleId="TitleChar">
    <w:name w:val="Title Char"/>
    <w:basedOn w:val="DefaultParagraphFont"/>
    <w:link w:val="Title"/>
    <w:rsid w:val="00293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D51"/>
    <w:pPr>
      <w:tabs>
        <w:tab w:val="left" w:pos="3600"/>
        <w:tab w:val="left" w:pos="3958"/>
      </w:tabs>
    </w:pPr>
  </w:style>
  <w:style w:type="paragraph" w:customStyle="1" w:styleId="Note">
    <w:name w:val="Note"/>
    <w:basedOn w:val="BodyText"/>
    <w:rsid w:val="00293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D51"/>
    <w:pPr>
      <w:framePr w:wrap="auto" w:hAnchor="text" w:y="6049"/>
    </w:pPr>
    <w:rPr>
      <w:color w:val="000000"/>
      <w:sz w:val="40"/>
    </w:rPr>
  </w:style>
  <w:style w:type="paragraph" w:customStyle="1" w:styleId="TOCTitle">
    <w:name w:val="TOCTitle"/>
    <w:basedOn w:val="Heading1"/>
    <w:rsid w:val="00293D51"/>
    <w:pPr>
      <w:spacing w:after="240"/>
      <w:jc w:val="center"/>
      <w:outlineLvl w:val="9"/>
    </w:pPr>
    <w:rPr>
      <w:caps/>
    </w:rPr>
  </w:style>
  <w:style w:type="paragraph" w:customStyle="1" w:styleId="Version">
    <w:name w:val="Version"/>
    <w:rsid w:val="00293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D51"/>
    <w:pPr>
      <w:keepNext w:val="0"/>
      <w:tabs>
        <w:tab w:val="right" w:pos="4176"/>
      </w:tabs>
      <w:ind w:left="198" w:hanging="198"/>
    </w:pPr>
    <w:rPr>
      <w:rFonts w:ascii="Garamond" w:hAnsi="Garamond"/>
    </w:rPr>
  </w:style>
  <w:style w:type="paragraph" w:styleId="IndexHeading">
    <w:name w:val="index heading"/>
    <w:basedOn w:val="Normal"/>
    <w:next w:val="Index1"/>
    <w:semiHidden/>
    <w:rsid w:val="00293D51"/>
    <w:pPr>
      <w:spacing w:before="120" w:after="120"/>
    </w:pPr>
    <w:rPr>
      <w:rFonts w:ascii="Arial" w:hAnsi="Arial"/>
      <w:b/>
      <w:color w:val="918585"/>
      <w:sz w:val="24"/>
    </w:rPr>
  </w:style>
  <w:style w:type="paragraph" w:customStyle="1" w:styleId="Chapter">
    <w:name w:val="Chapter"/>
    <w:basedOn w:val="Normal"/>
    <w:rsid w:val="00293D51"/>
    <w:pPr>
      <w:spacing w:before="240"/>
    </w:pPr>
    <w:rPr>
      <w:rFonts w:ascii="Times New Roman" w:hAnsi="Times New Roman"/>
      <w:smallCaps/>
      <w:spacing w:val="80"/>
      <w:sz w:val="28"/>
    </w:rPr>
  </w:style>
  <w:style w:type="paragraph" w:customStyle="1" w:styleId="InChapter">
    <w:name w:val="InChapter"/>
    <w:basedOn w:val="Heading3"/>
    <w:rsid w:val="00293D51"/>
    <w:pPr>
      <w:spacing w:after="240"/>
      <w:outlineLvl w:val="9"/>
    </w:pPr>
    <w:rPr>
      <w:noProof/>
    </w:rPr>
  </w:style>
  <w:style w:type="paragraph" w:styleId="Index2">
    <w:name w:val="index 2"/>
    <w:basedOn w:val="Normal"/>
    <w:next w:val="Normal"/>
    <w:semiHidden/>
    <w:rsid w:val="00293D51"/>
    <w:pPr>
      <w:tabs>
        <w:tab w:val="right" w:pos="4176"/>
      </w:tabs>
      <w:ind w:left="568" w:hanging="284"/>
    </w:pPr>
    <w:rPr>
      <w:rFonts w:ascii="Garamond" w:hAnsi="Garamond"/>
    </w:rPr>
  </w:style>
  <w:style w:type="paragraph" w:customStyle="1" w:styleId="Byline">
    <w:name w:val="Byline"/>
    <w:rsid w:val="00293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D51"/>
    <w:pPr>
      <w:tabs>
        <w:tab w:val="clear" w:pos="3600"/>
        <w:tab w:val="clear" w:pos="3958"/>
      </w:tabs>
      <w:jc w:val="right"/>
    </w:pPr>
  </w:style>
  <w:style w:type="character" w:styleId="Emphasis">
    <w:name w:val="Emphasis"/>
    <w:basedOn w:val="DefaultParagraphFont"/>
    <w:qFormat/>
    <w:rsid w:val="00293D51"/>
    <w:rPr>
      <w:i/>
    </w:rPr>
  </w:style>
  <w:style w:type="paragraph" w:styleId="Caption">
    <w:name w:val="caption"/>
    <w:basedOn w:val="BodyText"/>
    <w:next w:val="Normal"/>
    <w:qFormat/>
    <w:rsid w:val="00293D51"/>
    <w:pPr>
      <w:framePr w:w="2268" w:hSpace="181" w:vSpace="181" w:wrap="around" w:vAnchor="text" w:hAnchor="page" w:x="1135" w:y="285" w:anchorLock="1"/>
    </w:pPr>
    <w:rPr>
      <w:i/>
    </w:rPr>
  </w:style>
  <w:style w:type="paragraph" w:customStyle="1" w:styleId="MiniTOCTitle">
    <w:name w:val="MiniTOCTitle"/>
    <w:basedOn w:val="Heading4"/>
    <w:rsid w:val="00293D51"/>
    <w:pPr>
      <w:spacing w:before="240"/>
      <w:outlineLvl w:val="9"/>
    </w:pPr>
    <w:rPr>
      <w:noProof/>
      <w:sz w:val="24"/>
    </w:rPr>
  </w:style>
  <w:style w:type="paragraph" w:customStyle="1" w:styleId="MiniTOCItem">
    <w:name w:val="MiniTOCItem"/>
    <w:basedOn w:val="ListBullet"/>
    <w:rsid w:val="00293D51"/>
    <w:pPr>
      <w:numPr>
        <w:numId w:val="0"/>
      </w:numPr>
      <w:tabs>
        <w:tab w:val="right" w:leader="dot" w:pos="6521"/>
      </w:tabs>
      <w:spacing w:before="0" w:after="0"/>
    </w:pPr>
  </w:style>
  <w:style w:type="paragraph" w:customStyle="1" w:styleId="TOFTitle">
    <w:name w:val="TOFTitle"/>
    <w:basedOn w:val="TOCTitle"/>
    <w:rsid w:val="00293D51"/>
  </w:style>
  <w:style w:type="paragraph" w:styleId="TableofFigures">
    <w:name w:val="table of figures"/>
    <w:basedOn w:val="Normal"/>
    <w:next w:val="Normal"/>
    <w:semiHidden/>
    <w:rsid w:val="00293D51"/>
    <w:pPr>
      <w:tabs>
        <w:tab w:val="right" w:leader="dot" w:pos="9072"/>
      </w:tabs>
      <w:ind w:left="970" w:hanging="403"/>
    </w:pPr>
    <w:rPr>
      <w:rFonts w:ascii="Times New Roman" w:hAnsi="Times New Roman"/>
      <w:b/>
    </w:rPr>
  </w:style>
  <w:style w:type="paragraph" w:styleId="ListNumber">
    <w:name w:val="List Number"/>
    <w:basedOn w:val="List"/>
    <w:rsid w:val="00293D51"/>
    <w:pPr>
      <w:numPr>
        <w:numId w:val="11"/>
      </w:numPr>
    </w:pPr>
  </w:style>
  <w:style w:type="character" w:customStyle="1" w:styleId="WingdingSymbols">
    <w:name w:val="Wingding Symbols"/>
    <w:rsid w:val="00293D51"/>
    <w:rPr>
      <w:rFonts w:ascii="Wingdings" w:hAnsi="Wingdings"/>
    </w:rPr>
  </w:style>
  <w:style w:type="paragraph" w:customStyle="1" w:styleId="TableHeading">
    <w:name w:val="Table Heading"/>
    <w:basedOn w:val="HeadingBase"/>
    <w:rsid w:val="00293D51"/>
    <w:pPr>
      <w:keepLines/>
      <w:pBdr>
        <w:bottom w:val="single" w:sz="6" w:space="1" w:color="918585"/>
      </w:pBdr>
      <w:spacing w:before="240"/>
    </w:pPr>
  </w:style>
  <w:style w:type="character" w:customStyle="1" w:styleId="HotSpot">
    <w:name w:val="HotSpot"/>
    <w:rsid w:val="00293D51"/>
    <w:rPr>
      <w:color w:val="0033CC"/>
      <w:u w:val="none"/>
    </w:rPr>
  </w:style>
  <w:style w:type="paragraph" w:customStyle="1" w:styleId="BodyTextRight">
    <w:name w:val="Body Text Right"/>
    <w:basedOn w:val="BodyText"/>
    <w:rsid w:val="00293D51"/>
    <w:pPr>
      <w:spacing w:before="0" w:after="0"/>
      <w:jc w:val="right"/>
    </w:pPr>
  </w:style>
  <w:style w:type="paragraph" w:styleId="Index3">
    <w:name w:val="index 3"/>
    <w:basedOn w:val="ListNumber2"/>
    <w:next w:val="Normal"/>
    <w:semiHidden/>
    <w:rsid w:val="00293D51"/>
    <w:pPr>
      <w:numPr>
        <w:numId w:val="0"/>
      </w:numPr>
      <w:tabs>
        <w:tab w:val="right" w:leader="dot" w:pos="4176"/>
      </w:tabs>
    </w:pPr>
  </w:style>
  <w:style w:type="paragraph" w:styleId="ListNumber2">
    <w:name w:val="List Number 2"/>
    <w:basedOn w:val="List2"/>
    <w:rsid w:val="00293D51"/>
    <w:pPr>
      <w:numPr>
        <w:numId w:val="10"/>
      </w:numPr>
      <w:tabs>
        <w:tab w:val="clear" w:pos="1060"/>
      </w:tabs>
    </w:pPr>
  </w:style>
  <w:style w:type="paragraph" w:customStyle="1" w:styleId="MarginNote">
    <w:name w:val="Margin Note"/>
    <w:basedOn w:val="BodyText"/>
    <w:rsid w:val="00293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D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D51"/>
    <w:rPr>
      <w:sz w:val="32"/>
    </w:rPr>
  </w:style>
  <w:style w:type="paragraph" w:customStyle="1" w:styleId="HeadingProcedure">
    <w:name w:val="Heading Procedure"/>
    <w:basedOn w:val="HeadingBase"/>
    <w:next w:val="Normal"/>
    <w:rsid w:val="00293D51"/>
    <w:pPr>
      <w:tabs>
        <w:tab w:val="left" w:pos="0"/>
      </w:tabs>
      <w:spacing w:before="120" w:after="60"/>
    </w:pPr>
    <w:rPr>
      <w:i/>
      <w:color w:val="918585"/>
      <w:sz w:val="22"/>
    </w:rPr>
  </w:style>
  <w:style w:type="paragraph" w:customStyle="1" w:styleId="TableBodyText">
    <w:name w:val="Table Body Text"/>
    <w:basedOn w:val="BodyText"/>
    <w:rsid w:val="00293D51"/>
    <w:pPr>
      <w:spacing w:before="60" w:after="60"/>
    </w:pPr>
  </w:style>
  <w:style w:type="paragraph" w:styleId="ListContinue">
    <w:name w:val="List Continue"/>
    <w:basedOn w:val="List"/>
    <w:rsid w:val="00293D51"/>
    <w:pPr>
      <w:ind w:firstLine="0"/>
    </w:pPr>
  </w:style>
  <w:style w:type="paragraph" w:customStyle="1" w:styleId="ListNote">
    <w:name w:val="List Note"/>
    <w:basedOn w:val="List"/>
    <w:rsid w:val="00293D51"/>
    <w:pPr>
      <w:pBdr>
        <w:top w:val="single" w:sz="6" w:space="2" w:color="918585"/>
        <w:bottom w:val="single" w:sz="6" w:space="2" w:color="918585"/>
      </w:pBdr>
      <w:tabs>
        <w:tab w:val="left" w:pos="1021"/>
      </w:tabs>
      <w:ind w:firstLine="0"/>
    </w:pPr>
  </w:style>
  <w:style w:type="paragraph" w:customStyle="1" w:styleId="Warning">
    <w:name w:val="Warning"/>
    <w:basedOn w:val="BodyText"/>
    <w:rsid w:val="00293D51"/>
    <w:pPr>
      <w:shd w:val="clear" w:color="auto" w:fill="D9D9D9"/>
      <w:tabs>
        <w:tab w:val="left" w:pos="992"/>
      </w:tabs>
      <w:ind w:left="119" w:right="119"/>
    </w:pPr>
    <w:rPr>
      <w:sz w:val="20"/>
    </w:rPr>
  </w:style>
  <w:style w:type="paragraph" w:customStyle="1" w:styleId="MarginIcons">
    <w:name w:val="Margin Icons"/>
    <w:basedOn w:val="BodyText"/>
    <w:rsid w:val="00293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D51"/>
    <w:rPr>
      <w:rFonts w:ascii="Courier New" w:hAnsi="Courier New"/>
    </w:rPr>
  </w:style>
  <w:style w:type="paragraph" w:customStyle="1" w:styleId="NoteBullet">
    <w:name w:val="Note Bullet"/>
    <w:basedOn w:val="Note"/>
    <w:rsid w:val="00293D51"/>
    <w:pPr>
      <w:tabs>
        <w:tab w:val="clear" w:pos="680"/>
      </w:tabs>
      <w:spacing w:before="60" w:after="60"/>
    </w:pPr>
  </w:style>
  <w:style w:type="paragraph" w:customStyle="1" w:styleId="SubHeading2">
    <w:name w:val="SubHeading2"/>
    <w:basedOn w:val="HeadingBase"/>
    <w:rsid w:val="00293D51"/>
    <w:pPr>
      <w:spacing w:before="240" w:after="60"/>
    </w:pPr>
    <w:rPr>
      <w:sz w:val="20"/>
    </w:rPr>
  </w:style>
  <w:style w:type="paragraph" w:customStyle="1" w:styleId="SubHeading1">
    <w:name w:val="SubHeading1"/>
    <w:basedOn w:val="HeadingBase"/>
    <w:rsid w:val="00293D51"/>
    <w:pPr>
      <w:spacing w:before="240" w:after="60"/>
    </w:pPr>
    <w:rPr>
      <w:color w:val="918585"/>
      <w:sz w:val="22"/>
    </w:rPr>
  </w:style>
  <w:style w:type="paragraph" w:customStyle="1" w:styleId="SideHeading">
    <w:name w:val="Side Heading"/>
    <w:basedOn w:val="HeadingBase"/>
    <w:rsid w:val="00293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D51"/>
    <w:pPr>
      <w:numPr>
        <w:numId w:val="12"/>
      </w:numPr>
    </w:pPr>
  </w:style>
  <w:style w:type="paragraph" w:styleId="PlainText">
    <w:name w:val="Plain Text"/>
    <w:basedOn w:val="Normal"/>
    <w:link w:val="PlainTextChar"/>
    <w:rsid w:val="00293D51"/>
    <w:rPr>
      <w:sz w:val="20"/>
    </w:rPr>
  </w:style>
  <w:style w:type="character" w:customStyle="1" w:styleId="PlainTextChar">
    <w:name w:val="Plain Text Char"/>
    <w:basedOn w:val="DefaultParagraphFont"/>
    <w:link w:val="PlainText"/>
    <w:rsid w:val="00293D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D51"/>
    <w:rPr>
      <w:b/>
      <w:smallCaps/>
    </w:rPr>
  </w:style>
  <w:style w:type="paragraph" w:customStyle="1" w:styleId="TableListNumber">
    <w:name w:val="Table List Number"/>
    <w:basedOn w:val="ListNumber"/>
    <w:rsid w:val="00293D51"/>
    <w:pPr>
      <w:numPr>
        <w:numId w:val="0"/>
      </w:numPr>
    </w:pPr>
  </w:style>
  <w:style w:type="paragraph" w:styleId="TOC4">
    <w:name w:val="toc 4"/>
    <w:basedOn w:val="TOCBase"/>
    <w:next w:val="Normal"/>
    <w:semiHidden/>
    <w:rsid w:val="00293D51"/>
    <w:pPr>
      <w:tabs>
        <w:tab w:val="right" w:leader="dot" w:pos="9071"/>
      </w:tabs>
      <w:ind w:left="1701"/>
    </w:pPr>
  </w:style>
  <w:style w:type="paragraph" w:customStyle="1" w:styleId="ListAlpha">
    <w:name w:val="List Alpha"/>
    <w:basedOn w:val="List"/>
    <w:rsid w:val="00293D51"/>
    <w:pPr>
      <w:numPr>
        <w:numId w:val="9"/>
      </w:numPr>
    </w:pPr>
  </w:style>
  <w:style w:type="paragraph" w:customStyle="1" w:styleId="ListAlpha2">
    <w:name w:val="List Alpha 2"/>
    <w:basedOn w:val="List2"/>
    <w:rsid w:val="00293D51"/>
    <w:pPr>
      <w:numPr>
        <w:numId w:val="8"/>
      </w:numPr>
    </w:pPr>
  </w:style>
  <w:style w:type="paragraph" w:styleId="List3">
    <w:name w:val="List 3"/>
    <w:basedOn w:val="BodyText"/>
    <w:rsid w:val="00293D51"/>
    <w:pPr>
      <w:tabs>
        <w:tab w:val="left" w:pos="1021"/>
      </w:tabs>
      <w:spacing w:before="60" w:after="60"/>
      <w:ind w:left="1020" w:hanging="340"/>
    </w:pPr>
  </w:style>
  <w:style w:type="paragraph" w:styleId="List4">
    <w:name w:val="List 4"/>
    <w:basedOn w:val="BodyText"/>
    <w:rsid w:val="00293D51"/>
    <w:pPr>
      <w:tabs>
        <w:tab w:val="left" w:pos="1361"/>
      </w:tabs>
      <w:spacing w:before="60" w:after="60"/>
      <w:ind w:left="1361" w:hanging="340"/>
    </w:pPr>
  </w:style>
  <w:style w:type="paragraph" w:styleId="List5">
    <w:name w:val="List 5"/>
    <w:basedOn w:val="BodyText"/>
    <w:rsid w:val="00293D51"/>
    <w:pPr>
      <w:tabs>
        <w:tab w:val="left" w:pos="1701"/>
      </w:tabs>
      <w:spacing w:before="60" w:after="60"/>
      <w:ind w:left="1701" w:hanging="340"/>
    </w:pPr>
  </w:style>
  <w:style w:type="paragraph" w:styleId="ListBullet3">
    <w:name w:val="List Bullet 3"/>
    <w:basedOn w:val="List3"/>
    <w:rsid w:val="00293D51"/>
    <w:pPr>
      <w:numPr>
        <w:numId w:val="15"/>
      </w:numPr>
      <w:tabs>
        <w:tab w:val="clear" w:pos="1021"/>
      </w:tabs>
      <w:ind w:left="1037" w:hanging="357"/>
    </w:pPr>
  </w:style>
  <w:style w:type="paragraph" w:styleId="ListBullet4">
    <w:name w:val="List Bullet 4"/>
    <w:basedOn w:val="List4"/>
    <w:rsid w:val="00293D51"/>
    <w:pPr>
      <w:numPr>
        <w:numId w:val="3"/>
      </w:numPr>
    </w:pPr>
  </w:style>
  <w:style w:type="paragraph" w:styleId="ListBullet5">
    <w:name w:val="List Bullet 5"/>
    <w:basedOn w:val="List5"/>
    <w:rsid w:val="00293D51"/>
    <w:pPr>
      <w:numPr>
        <w:numId w:val="4"/>
      </w:numPr>
    </w:pPr>
  </w:style>
  <w:style w:type="paragraph" w:styleId="ListContinue2">
    <w:name w:val="List Continue 2"/>
    <w:basedOn w:val="List2"/>
    <w:rsid w:val="00293D51"/>
    <w:pPr>
      <w:ind w:firstLine="0"/>
    </w:pPr>
  </w:style>
  <w:style w:type="paragraph" w:styleId="ListContinue3">
    <w:name w:val="List Continue 3"/>
    <w:basedOn w:val="List3"/>
    <w:rsid w:val="00293D51"/>
    <w:pPr>
      <w:ind w:left="1021" w:firstLine="0"/>
    </w:pPr>
  </w:style>
  <w:style w:type="paragraph" w:styleId="ListContinue4">
    <w:name w:val="List Continue 4"/>
    <w:basedOn w:val="List4"/>
    <w:rsid w:val="00293D51"/>
    <w:pPr>
      <w:ind w:firstLine="0"/>
    </w:pPr>
  </w:style>
  <w:style w:type="paragraph" w:styleId="ListContinue5">
    <w:name w:val="List Continue 5"/>
    <w:basedOn w:val="List5"/>
    <w:rsid w:val="00293D51"/>
    <w:pPr>
      <w:ind w:firstLine="0"/>
    </w:pPr>
  </w:style>
  <w:style w:type="paragraph" w:styleId="ListNumber3">
    <w:name w:val="List Number 3"/>
    <w:basedOn w:val="List3"/>
    <w:rsid w:val="00293D51"/>
    <w:pPr>
      <w:numPr>
        <w:numId w:val="5"/>
      </w:numPr>
    </w:pPr>
  </w:style>
  <w:style w:type="paragraph" w:styleId="ListNumber4">
    <w:name w:val="List Number 4"/>
    <w:basedOn w:val="List4"/>
    <w:rsid w:val="00293D51"/>
    <w:pPr>
      <w:numPr>
        <w:numId w:val="6"/>
      </w:numPr>
    </w:pPr>
  </w:style>
  <w:style w:type="paragraph" w:styleId="ListNumber5">
    <w:name w:val="List Number 5"/>
    <w:basedOn w:val="List5"/>
    <w:rsid w:val="00293D51"/>
    <w:pPr>
      <w:numPr>
        <w:numId w:val="7"/>
      </w:numPr>
    </w:pPr>
  </w:style>
  <w:style w:type="paragraph" w:styleId="BlockText">
    <w:name w:val="Block Text"/>
    <w:basedOn w:val="Normal"/>
    <w:rsid w:val="00293D51"/>
    <w:pPr>
      <w:spacing w:after="120"/>
      <w:ind w:left="1440" w:right="1440"/>
    </w:pPr>
  </w:style>
  <w:style w:type="character" w:customStyle="1" w:styleId="Subscript">
    <w:name w:val="Subscript"/>
    <w:basedOn w:val="DefaultParagraphFont"/>
    <w:rsid w:val="00293D51"/>
    <w:rPr>
      <w:sz w:val="16"/>
      <w:vertAlign w:val="subscript"/>
    </w:rPr>
  </w:style>
  <w:style w:type="character" w:customStyle="1" w:styleId="Superscript">
    <w:name w:val="Superscript"/>
    <w:basedOn w:val="DefaultParagraphFont"/>
    <w:rsid w:val="00293D51"/>
    <w:rPr>
      <w:sz w:val="16"/>
      <w:vertAlign w:val="superscript"/>
    </w:rPr>
  </w:style>
  <w:style w:type="character" w:customStyle="1" w:styleId="Symbols">
    <w:name w:val="Symbols"/>
    <w:basedOn w:val="DefaultParagraphFont"/>
    <w:rsid w:val="00293D51"/>
    <w:rPr>
      <w:rFonts w:ascii="Symbol" w:hAnsi="Symbol"/>
    </w:rPr>
  </w:style>
  <w:style w:type="character" w:customStyle="1" w:styleId="MenuOptions">
    <w:name w:val="Menu Options"/>
    <w:basedOn w:val="DefaultParagraphFont"/>
    <w:rsid w:val="00293D51"/>
    <w:rPr>
      <w:rFonts w:ascii="Arial Narrow" w:hAnsi="Arial Narrow"/>
      <w:smallCaps/>
    </w:rPr>
  </w:style>
  <w:style w:type="character" w:customStyle="1" w:styleId="Buttons">
    <w:name w:val="Buttons"/>
    <w:basedOn w:val="DefaultParagraphFont"/>
    <w:rsid w:val="00293D51"/>
    <w:rPr>
      <w:b/>
    </w:rPr>
  </w:style>
  <w:style w:type="character" w:customStyle="1" w:styleId="Underlined">
    <w:name w:val="Underlined"/>
    <w:basedOn w:val="DefaultParagraphFont"/>
    <w:rsid w:val="00293D51"/>
    <w:rPr>
      <w:u w:val="single"/>
    </w:rPr>
  </w:style>
  <w:style w:type="paragraph" w:customStyle="1" w:styleId="TableBodyTextRight">
    <w:name w:val="Table Body Text Right"/>
    <w:basedOn w:val="TableBodyText"/>
    <w:rsid w:val="00293D51"/>
    <w:pPr>
      <w:widowControl w:val="0"/>
      <w:autoSpaceDE w:val="0"/>
      <w:autoSpaceDN w:val="0"/>
      <w:adjustRightInd w:val="0"/>
      <w:jc w:val="right"/>
    </w:pPr>
    <w:rPr>
      <w:rFonts w:cs="Arial"/>
      <w:szCs w:val="18"/>
    </w:rPr>
  </w:style>
  <w:style w:type="paragraph" w:customStyle="1" w:styleId="CopyrightText">
    <w:name w:val="Copyright Text"/>
    <w:basedOn w:val="BodyText"/>
    <w:rsid w:val="00293D51"/>
    <w:rPr>
      <w:sz w:val="18"/>
    </w:rPr>
  </w:style>
  <w:style w:type="paragraph" w:customStyle="1" w:styleId="BodySmallRight">
    <w:name w:val="Body Small Right"/>
    <w:basedOn w:val="BodyTextRight"/>
    <w:rsid w:val="00293D51"/>
    <w:rPr>
      <w:sz w:val="18"/>
      <w:szCs w:val="18"/>
    </w:rPr>
  </w:style>
  <w:style w:type="paragraph" w:customStyle="1" w:styleId="MarginEdition">
    <w:name w:val="Margin Edition"/>
    <w:basedOn w:val="MarginNote"/>
    <w:rsid w:val="00293D51"/>
    <w:pPr>
      <w:spacing w:before="0" w:after="0"/>
    </w:pPr>
    <w:rPr>
      <w:rFonts w:ascii="Times New Roman" w:hAnsi="Times New Roman"/>
      <w:color w:val="999999"/>
    </w:rPr>
  </w:style>
  <w:style w:type="paragraph" w:customStyle="1" w:styleId="Spacer">
    <w:name w:val="Spacer"/>
    <w:basedOn w:val="Normal"/>
    <w:rsid w:val="00293D51"/>
    <w:rPr>
      <w:sz w:val="2"/>
      <w:szCs w:val="2"/>
    </w:rPr>
  </w:style>
  <w:style w:type="character" w:customStyle="1" w:styleId="Small">
    <w:name w:val="Small"/>
    <w:basedOn w:val="DefaultParagraphFont"/>
    <w:rsid w:val="00293D51"/>
    <w:rPr>
      <w:sz w:val="16"/>
    </w:rPr>
  </w:style>
  <w:style w:type="paragraph" w:customStyle="1" w:styleId="WideTable">
    <w:name w:val="Wide Table"/>
    <w:basedOn w:val="Normal"/>
    <w:rsid w:val="00293D51"/>
    <w:pPr>
      <w:ind w:left="-1418"/>
    </w:pPr>
    <w:rPr>
      <w:sz w:val="2"/>
      <w:szCs w:val="2"/>
    </w:rPr>
  </w:style>
  <w:style w:type="character" w:styleId="PageNumber">
    <w:name w:val="page number"/>
    <w:basedOn w:val="DefaultParagraphFont"/>
    <w:rsid w:val="00293D51"/>
  </w:style>
  <w:style w:type="paragraph" w:styleId="Quote">
    <w:name w:val="Quote"/>
    <w:basedOn w:val="Heading1"/>
    <w:link w:val="QuoteChar"/>
    <w:qFormat/>
    <w:rsid w:val="00293D51"/>
    <w:rPr>
      <w:b w:val="0"/>
      <w:sz w:val="72"/>
      <w:szCs w:val="72"/>
      <w:lang w:val="en-NZ"/>
    </w:rPr>
  </w:style>
  <w:style w:type="character" w:customStyle="1" w:styleId="QuoteChar">
    <w:name w:val="Quote Char"/>
    <w:basedOn w:val="DefaultParagraphFont"/>
    <w:link w:val="Quote"/>
    <w:rsid w:val="00293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D51"/>
    <w:pPr>
      <w:pageBreakBefore/>
    </w:pPr>
  </w:style>
  <w:style w:type="paragraph" w:customStyle="1" w:styleId="Border">
    <w:name w:val="Border"/>
    <w:basedOn w:val="Normal"/>
    <w:qFormat/>
    <w:rsid w:val="00293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D51"/>
    <w:rPr>
      <w:b/>
      <w:bCs/>
      <w:i/>
      <w:iCs/>
      <w:color w:val="auto"/>
    </w:rPr>
  </w:style>
  <w:style w:type="paragraph" w:styleId="IntenseQuote">
    <w:name w:val="Intense Quote"/>
    <w:basedOn w:val="Normal"/>
    <w:next w:val="Normal"/>
    <w:link w:val="IntenseQuoteChar"/>
    <w:uiPriority w:val="30"/>
    <w:qFormat/>
    <w:rsid w:val="00293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D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D51"/>
    <w:rPr>
      <w:smallCaps/>
      <w:color w:val="auto"/>
      <w:u w:val="single"/>
    </w:rPr>
  </w:style>
  <w:style w:type="character" w:styleId="IntenseReference">
    <w:name w:val="Intense Reference"/>
    <w:basedOn w:val="DefaultParagraphFont"/>
    <w:uiPriority w:val="32"/>
    <w:qFormat/>
    <w:rsid w:val="00293D51"/>
    <w:rPr>
      <w:b/>
      <w:bCs/>
      <w:smallCaps/>
      <w:color w:val="auto"/>
      <w:spacing w:val="5"/>
      <w:u w:val="single"/>
    </w:rPr>
  </w:style>
  <w:style w:type="paragraph" w:customStyle="1" w:styleId="2ColumnHeading">
    <w:name w:val="2Column Heading"/>
    <w:basedOn w:val="BodyText"/>
    <w:qFormat/>
    <w:rsid w:val="00293D51"/>
    <w:pPr>
      <w:spacing w:after="60"/>
      <w:ind w:left="-2268"/>
    </w:pPr>
    <w:rPr>
      <w:b/>
    </w:rPr>
  </w:style>
  <w:style w:type="paragraph" w:customStyle="1" w:styleId="Heading1TOC">
    <w:name w:val="Heading1 TOC"/>
    <w:basedOn w:val="Normal"/>
    <w:qFormat/>
    <w:rsid w:val="00293D51"/>
    <w:pPr>
      <w:spacing w:before="240" w:after="120"/>
    </w:pPr>
    <w:rPr>
      <w:rFonts w:ascii="Times New Roman" w:hAnsi="Times New Roman"/>
      <w:b/>
      <w:sz w:val="32"/>
    </w:rPr>
  </w:style>
  <w:style w:type="paragraph" w:customStyle="1" w:styleId="Heading2TOC">
    <w:name w:val="Heading2 TOC"/>
    <w:basedOn w:val="Normal"/>
    <w:qFormat/>
    <w:rsid w:val="00293D51"/>
    <w:pPr>
      <w:spacing w:before="240" w:after="60"/>
    </w:pPr>
    <w:rPr>
      <w:rFonts w:ascii="Times New Roman" w:hAnsi="Times New Roman"/>
      <w:b/>
      <w:sz w:val="28"/>
    </w:rPr>
  </w:style>
  <w:style w:type="character" w:customStyle="1" w:styleId="Underline">
    <w:name w:val="Underline"/>
    <w:basedOn w:val="DefaultParagraphFont"/>
    <w:qFormat/>
    <w:rsid w:val="00293D51"/>
    <w:rPr>
      <w:u w:val="single"/>
    </w:rPr>
  </w:style>
  <w:style w:type="character" w:customStyle="1" w:styleId="BoldandItalics">
    <w:name w:val="Bold and Italics"/>
    <w:qFormat/>
    <w:rsid w:val="00293D51"/>
    <w:rPr>
      <w:b/>
      <w:i/>
      <w:u w:val="none"/>
    </w:rPr>
  </w:style>
  <w:style w:type="paragraph" w:styleId="BalloonText">
    <w:name w:val="Balloon Text"/>
    <w:basedOn w:val="Normal"/>
    <w:link w:val="BalloonTextChar"/>
    <w:rsid w:val="00293D51"/>
    <w:rPr>
      <w:rFonts w:ascii="Tahoma" w:hAnsi="Tahoma" w:cs="Tahoma"/>
      <w:sz w:val="16"/>
      <w:szCs w:val="16"/>
    </w:rPr>
  </w:style>
  <w:style w:type="character" w:customStyle="1" w:styleId="BalloonTextChar">
    <w:name w:val="Balloon Text Char"/>
    <w:basedOn w:val="DefaultParagraphFont"/>
    <w:link w:val="BalloonText"/>
    <w:rsid w:val="00293D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D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D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6509</Characters>
  <Application>Microsoft Office Word</Application>
  <DocSecurity>0</DocSecurity>
  <Lines>241</Lines>
  <Paragraphs>121</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PMC552053C Finish cured concrete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