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6C2" w:rsidP="00F476C2">
      <w:pPr>
        <w:pStyle w:val="Title"/>
      </w:pPr>
      <w:r>
        <w:fldChar w:fldCharType="begin"/>
      </w:r>
      <w:r>
        <w:instrText xml:space="preserve"> TITLE   \* MERGEFORMAT </w:instrText>
      </w:r>
      <w:r>
        <w:fldChar w:fldCharType="separate"/>
      </w:r>
      <w:r>
        <w:t>PMC552043C Operate float forming equipment</w:t>
      </w:r>
      <w:r>
        <w:fldChar w:fldCharType="end"/>
      </w:r>
    </w:p>
    <w:p w:rsidR="00F476C2" w:rsidP="00F476C2">
      <w:pPr>
        <w:pStyle w:val="Version"/>
        <w:sectPr w:rsidSect="00B10C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0C93" w:rsidP="00B10C93">
      <w:pPr>
        <w:pStyle w:val="SuperHeading"/>
      </w:pPr>
      <w:r w:rsidRPr="00B10C93">
        <w:t>PMC552043C Operate float forming equipment</w:t>
      </w:r>
    </w:p>
    <w:p w:rsidR="00000000" w:rsidRPr="00B10C93" w:rsidP="00B10C93">
      <w:pPr>
        <w:pStyle w:val="SuperHeading"/>
      </w:pPr>
    </w:p>
    <w:p w:rsidR="00000000" w:rsidRPr="00B10C93" w:rsidP="00B10C93">
      <w:pPr>
        <w:pStyle w:val="Heading1"/>
      </w:pPr>
      <w:bookmarkStart w:id="1" w:name="O_110187"/>
      <w:bookmarkEnd w:id="1"/>
      <w:r w:rsidRPr="00B10C93">
        <w:t>Modification History</w:t>
      </w:r>
    </w:p>
    <w:p w:rsidR="00000000" w:rsidRPr="00B10C93" w:rsidP="00B10C93">
      <w:pPr>
        <w:pStyle w:val="BodyText"/>
      </w:pPr>
      <w:r w:rsidRPr="00B10C93">
        <w:t>Not applicable.</w:t>
      </w:r>
    </w:p>
    <w:p w:rsidR="00000000" w:rsidRPr="00B10C93" w:rsidP="00B10C93">
      <w:pPr>
        <w:pStyle w:val="AllowPageBreak"/>
      </w:pPr>
    </w:p>
    <w:p w:rsidR="00000000" w:rsidRPr="00B10C93" w:rsidP="00B10C93">
      <w:pPr>
        <w:pStyle w:val="Heading1"/>
      </w:pPr>
      <w:bookmarkStart w:id="2" w:name="O_110188"/>
      <w:bookmarkEnd w:id="2"/>
      <w:r w:rsidRPr="00B10C93">
        <w:t>Unit Descriptor</w:t>
      </w:r>
    </w:p>
    <w:tbl>
      <w:tblPr>
        <w:tblW w:w="0" w:type="auto"/>
        <w:tblLayout w:type="fixed"/>
        <w:tblCellMar>
          <w:left w:w="62" w:type="dxa"/>
          <w:right w:w="62" w:type="dxa"/>
        </w:tblCellMar>
        <w:tblLook w:val="0000"/>
      </w:tblPr>
      <w:tblGrid>
        <w:gridCol w:w="2664"/>
        <w:gridCol w:w="5858"/>
      </w:tblGrid>
      <w:tr w:rsidTr="00F476C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 xml:space="preserve">This unit of competency covers the operation of float forming equipment used for the manufacture of sheet </w:t>
            </w:r>
            <w:r w:rsidRPr="00B10C93">
              <w:t xml:space="preserve">glass. It involves setting up and tuning the process, operating and maintaining equipment, undertaking routine checks, rectifying routine problems and completing documentation. </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3" w:name="O_110189"/>
      <w:bookmarkEnd w:id="3"/>
      <w:r w:rsidRPr="00B10C93">
        <w:t>Application of the Unit</w:t>
      </w:r>
    </w:p>
    <w:tbl>
      <w:tblPr>
        <w:tblW w:w="0" w:type="auto"/>
        <w:tblLayout w:type="fixed"/>
        <w:tblCellMar>
          <w:left w:w="62" w:type="dxa"/>
          <w:right w:w="62" w:type="dxa"/>
        </w:tblCellMar>
        <w:tblLook w:val="0000"/>
      </w:tblPr>
      <w:tblGrid>
        <w:gridCol w:w="2752"/>
        <w:gridCol w:w="5770"/>
      </w:tblGrid>
      <w:tr w:rsidTr="00F476C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This unit of competency applies to operators who are responsible for operating float forming equipment within the manufactured mineral products industry.</w:t>
            </w:r>
          </w:p>
          <w:p w:rsidR="00000000" w:rsidRPr="00B10C93" w:rsidP="00B10C93">
            <w:pPr>
              <w:pStyle w:val="BodyText"/>
            </w:pPr>
            <w:r w:rsidRPr="00B10C93">
              <w:t>This competency includes the operation of all ancillary equipment.</w:t>
            </w:r>
          </w:p>
          <w:p w:rsidR="00000000" w:rsidRPr="00B10C93" w:rsidP="00B10C93">
            <w:pPr>
              <w:pStyle w:val="BodyText"/>
            </w:pPr>
            <w:r w:rsidRPr="00B10C93">
              <w:t>This competency is typically perfor</w:t>
            </w:r>
            <w:r w:rsidRPr="00B10C93">
              <w:t>med by operators working either independently or as part of a work team. At all times they would be liaising with other members of the team.</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4" w:name="O_110190"/>
      <w:bookmarkEnd w:id="4"/>
      <w:r w:rsidRPr="00B10C93">
        <w:t>Licensing/Regulatory Information</w:t>
      </w:r>
    </w:p>
    <w:p w:rsidR="00000000" w:rsidRPr="00B10C93" w:rsidP="00B10C93">
      <w:pPr>
        <w:pStyle w:val="BodyText"/>
      </w:pPr>
      <w:r w:rsidRPr="00B10C93">
        <w:t>Not applicable.</w:t>
      </w:r>
    </w:p>
    <w:p w:rsidR="00000000" w:rsidRPr="00B10C93" w:rsidP="00B10C93">
      <w:pPr>
        <w:pStyle w:val="AllowPageBreak"/>
      </w:pPr>
    </w:p>
    <w:p w:rsidR="00000000" w:rsidRPr="00B10C93" w:rsidP="00B10C93">
      <w:pPr>
        <w:pStyle w:val="Heading1"/>
      </w:pPr>
      <w:bookmarkStart w:id="5" w:name="O_110191"/>
      <w:bookmarkEnd w:id="5"/>
      <w:r w:rsidRPr="00B10C93">
        <w:t>Pre-Requisites</w:t>
      </w:r>
    </w:p>
    <w:tbl>
      <w:tblPr>
        <w:tblW w:w="0" w:type="auto"/>
        <w:tblLayout w:type="fixed"/>
        <w:tblCellMar>
          <w:left w:w="62" w:type="dxa"/>
          <w:right w:w="62" w:type="dxa"/>
        </w:tblCellMar>
        <w:tblLook w:val="0000"/>
      </w:tblPr>
      <w:tblGrid>
        <w:gridCol w:w="2775"/>
        <w:gridCol w:w="1295"/>
        <w:gridCol w:w="4452"/>
      </w:tblGrid>
      <w:tr w:rsidTr="00F476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p>
        </w:tc>
      </w:tr>
      <w:tr w:rsidTr="00F476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p>
        </w:tc>
      </w:tr>
      <w:tr w:rsidTr="00F476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6" w:name="O_110192"/>
      <w:bookmarkEnd w:id="6"/>
      <w:r w:rsidRPr="00B10C93">
        <w:t>Employability Skills Information</w:t>
      </w:r>
    </w:p>
    <w:tbl>
      <w:tblPr>
        <w:tblW w:w="0" w:type="auto"/>
        <w:tblLayout w:type="fixed"/>
        <w:tblCellMar>
          <w:left w:w="62" w:type="dxa"/>
          <w:right w:w="62" w:type="dxa"/>
        </w:tblCellMar>
        <w:tblLook w:val="0000"/>
      </w:tblPr>
      <w:tblGrid>
        <w:gridCol w:w="2802"/>
        <w:gridCol w:w="5720"/>
      </w:tblGrid>
      <w:tr w:rsidTr="00F476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This unit contains employability skills.</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7" w:name="O_110193"/>
      <w:bookmarkEnd w:id="7"/>
      <w:r w:rsidRPr="00B10C93">
        <w:t>Elements and Performance Criteria Pre-Content</w:t>
      </w:r>
    </w:p>
    <w:tbl>
      <w:tblPr>
        <w:tblW w:w="0" w:type="auto"/>
        <w:tblLayout w:type="fixed"/>
        <w:tblCellMar>
          <w:left w:w="62" w:type="dxa"/>
          <w:right w:w="62" w:type="dxa"/>
        </w:tblCellMar>
        <w:tblLook w:val="0000"/>
      </w:tblPr>
      <w:tblGrid>
        <w:gridCol w:w="2534"/>
        <w:gridCol w:w="5988"/>
      </w:tblGrid>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Performance criteria describe the performance needed to demonstrate achievement of the element. Where bold italicised text is used, further information is detailed in the required skills and</w:t>
            </w:r>
            <w:r w:rsidRPr="00B10C93">
              <w:t xml:space="preserve"> knowledge section and the range statement. Assessment of performance is to be consistent with the evidence guide.</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8" w:name="O_110194"/>
      <w:bookmarkEnd w:id="8"/>
      <w:r w:rsidRPr="00B10C93">
        <w:t>Elements and Performance Criteria</w:t>
      </w:r>
    </w:p>
    <w:tbl>
      <w:tblPr>
        <w:tblW w:w="0" w:type="auto"/>
        <w:tblLayout w:type="fixed"/>
        <w:tblCellMar>
          <w:left w:w="62" w:type="dxa"/>
          <w:right w:w="62" w:type="dxa"/>
        </w:tblCellMar>
        <w:tblLook w:val="0000"/>
      </w:tblPr>
      <w:tblGrid>
        <w:gridCol w:w="2534"/>
        <w:gridCol w:w="5988"/>
      </w:tblGrid>
      <w:tr w:rsidTr="00F476C2">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PERFORMANCE CRITERIA</w:t>
            </w:r>
          </w:p>
        </w:tc>
      </w:tr>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List"/>
              <w:rPr>
                <w:lang w:val="en-NZ"/>
              </w:rPr>
            </w:pPr>
            <w:r w:rsidRPr="00B10C93">
              <w:t>1.</w:t>
            </w:r>
            <w:r w:rsidRPr="00B10C93">
              <w:tab/>
              <w:t>Prepare formation equipment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List2"/>
            </w:pPr>
            <w:r w:rsidRPr="00B10C93">
              <w:t>1.1.</w:t>
            </w:r>
            <w:r w:rsidRPr="00B10C93">
              <w:tab/>
            </w:r>
            <w:r w:rsidRPr="00B10C93">
              <w:t>Interpret job specifications and set up the appropriate line/equipment</w:t>
            </w:r>
          </w:p>
          <w:p w:rsidR="00000000" w:rsidRPr="00B10C93" w:rsidP="00B10C93">
            <w:pPr>
              <w:pStyle w:val="List2"/>
            </w:pPr>
            <w:r w:rsidRPr="00B10C93">
              <w:t>1.2.</w:t>
            </w:r>
            <w:r w:rsidRPr="00B10C93">
              <w:tab/>
              <w:t>Set quality and quantity of molten glass conditions to be consistent with production program requirements</w:t>
            </w:r>
          </w:p>
          <w:p w:rsidR="00000000" w:rsidP="00B10C93">
            <w:pPr>
              <w:pStyle w:val="List2"/>
              <w:rPr>
                <w:lang w:val="en-NZ"/>
              </w:rPr>
            </w:pPr>
            <w:r w:rsidRPr="00B10C93">
              <w:t>1.3.</w:t>
            </w:r>
            <w:r w:rsidRPr="00B10C93">
              <w:tab/>
              <w:t>Undertake equipment preparation and checks according to established p</w:t>
            </w:r>
            <w:r w:rsidRPr="00B10C93">
              <w:t>rocedures</w:t>
            </w:r>
          </w:p>
        </w:tc>
      </w:tr>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List"/>
              <w:rPr>
                <w:lang w:val="en-NZ"/>
              </w:rPr>
            </w:pPr>
            <w:r w:rsidRPr="00B10C93">
              <w:t>2.</w:t>
            </w:r>
            <w:r w:rsidRPr="00B10C93">
              <w:tab/>
              <w:t>Fine tune forming processes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List2"/>
            </w:pPr>
            <w:r w:rsidRPr="00B10C93">
              <w:t>2.1.</w:t>
            </w:r>
            <w:r w:rsidRPr="00B10C93">
              <w:tab/>
              <w:t>Conduct pre-run checks according to equipment procedures</w:t>
            </w:r>
          </w:p>
          <w:p w:rsidR="00000000" w:rsidRPr="00B10C93" w:rsidP="00B10C93">
            <w:pPr>
              <w:pStyle w:val="List2"/>
            </w:pPr>
            <w:r w:rsidRPr="00B10C93">
              <w:t>2.2.</w:t>
            </w:r>
            <w:r w:rsidRPr="00B10C93">
              <w:tab/>
              <w:t>Make machinery/equipment adjustments and final preparations to ensure that work instructions are met</w:t>
            </w:r>
          </w:p>
          <w:p w:rsidR="00000000" w:rsidP="00B10C93">
            <w:pPr>
              <w:pStyle w:val="List2"/>
              <w:rPr>
                <w:lang w:val="en-NZ"/>
              </w:rPr>
            </w:pPr>
            <w:r w:rsidRPr="00B10C93">
              <w:t>2.3.</w:t>
            </w:r>
            <w:r w:rsidRPr="00B10C93">
              <w:tab/>
              <w:t>Confirm that quality meets specifications</w:t>
            </w:r>
          </w:p>
        </w:tc>
      </w:tr>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List"/>
              <w:rPr>
                <w:lang w:val="en-NZ"/>
              </w:rPr>
            </w:pPr>
            <w:r w:rsidRPr="00B10C93">
              <w:t>3.</w:t>
            </w:r>
            <w:r w:rsidRPr="00B10C93">
              <w:tab/>
              <w:t>Form the products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List2"/>
            </w:pPr>
            <w:r w:rsidRPr="00B10C93">
              <w:t>3.1.</w:t>
            </w:r>
            <w:r w:rsidRPr="00B10C93">
              <w:tab/>
              <w:t>Monitor equipment to ensure that quality specifications are met</w:t>
            </w:r>
          </w:p>
          <w:p w:rsidR="00000000" w:rsidRPr="00B10C93" w:rsidP="00B10C93">
            <w:pPr>
              <w:pStyle w:val="List2"/>
            </w:pPr>
            <w:r w:rsidRPr="00B10C93">
              <w:t>3.2.</w:t>
            </w:r>
            <w:r w:rsidRPr="00B10C93">
              <w:tab/>
              <w:t>Make operation adjustments according to established procedures to maintain product quality</w:t>
            </w:r>
          </w:p>
          <w:p w:rsidR="00000000" w:rsidRPr="00B10C93" w:rsidP="00B10C93">
            <w:pPr>
              <w:pStyle w:val="List2"/>
            </w:pPr>
            <w:r w:rsidRPr="00B10C93">
              <w:t>3.3.</w:t>
            </w:r>
            <w:r w:rsidRPr="00B10C93">
              <w:tab/>
              <w:t>Conduct product sampling and quality control checks according t</w:t>
            </w:r>
            <w:r w:rsidRPr="00B10C93">
              <w:t>o standard procedures</w:t>
            </w:r>
          </w:p>
          <w:p w:rsidR="00000000" w:rsidRPr="00B10C93" w:rsidP="00B10C93">
            <w:pPr>
              <w:pStyle w:val="List2"/>
            </w:pPr>
            <w:r w:rsidRPr="00B10C93">
              <w:t>3.4.</w:t>
            </w:r>
            <w:r w:rsidRPr="00B10C93">
              <w:tab/>
              <w:t>Use and monitor ancillary equipment and safety procedures in accordance with enterprise requirements</w:t>
            </w:r>
          </w:p>
          <w:p w:rsidR="00000000" w:rsidP="00B10C93">
            <w:pPr>
              <w:pStyle w:val="List2"/>
              <w:rPr>
                <w:lang w:val="en-NZ"/>
              </w:rPr>
            </w:pPr>
            <w:r w:rsidRPr="00B10C93">
              <w:t>3.5.</w:t>
            </w:r>
            <w:r w:rsidRPr="00B10C93">
              <w:tab/>
              <w:t>Maintain records according to enterprise requirements</w:t>
            </w:r>
          </w:p>
        </w:tc>
      </w:tr>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List"/>
              <w:rPr>
                <w:lang w:val="en-NZ"/>
              </w:rPr>
            </w:pPr>
            <w:r w:rsidRPr="00B10C93">
              <w:t>4.</w:t>
            </w:r>
            <w:r w:rsidRPr="00B10C93">
              <w:tab/>
              <w:t>Rectify routine problems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List2"/>
            </w:pPr>
            <w:r w:rsidRPr="00B10C93">
              <w:t>4.1.</w:t>
            </w:r>
            <w:r w:rsidRPr="00B10C93">
              <w:tab/>
            </w:r>
            <w:r w:rsidRPr="00B10C93">
              <w:t>Identify the range of faults that can occur during the operation</w:t>
            </w:r>
          </w:p>
          <w:p w:rsidR="00000000" w:rsidRPr="00B10C93" w:rsidP="00B10C93">
            <w:pPr>
              <w:pStyle w:val="List2"/>
            </w:pPr>
            <w:r w:rsidRPr="00B10C93">
              <w:t>4.2.</w:t>
            </w:r>
            <w:r w:rsidRPr="00B10C93">
              <w:tab/>
              <w:t>Determine and rectify fault causes in accordance with procedures</w:t>
            </w:r>
          </w:p>
          <w:p w:rsidR="00000000" w:rsidRPr="00B10C93" w:rsidP="00B10C93">
            <w:pPr>
              <w:pStyle w:val="List2"/>
            </w:pPr>
            <w:r w:rsidRPr="00B10C93">
              <w:t>4.3.</w:t>
            </w:r>
            <w:r w:rsidRPr="00B10C93">
              <w:tab/>
              <w:t>Identify and rectify equipment failure causes in accordance with procedures</w:t>
            </w:r>
          </w:p>
          <w:p w:rsidR="00000000" w:rsidRPr="00B10C93" w:rsidP="00B10C93">
            <w:pPr>
              <w:pStyle w:val="List2"/>
            </w:pPr>
            <w:r w:rsidRPr="00B10C93">
              <w:t>4.4.</w:t>
            </w:r>
            <w:r w:rsidRPr="00B10C93">
              <w:tab/>
              <w:t xml:space="preserve">Ensure appropriate records and log </w:t>
            </w:r>
            <w:r w:rsidRPr="00B10C93">
              <w:t>books of equipment operations are maintained to meet procedures</w:t>
            </w:r>
          </w:p>
          <w:p w:rsidR="00000000" w:rsidP="00B10C93">
            <w:pPr>
              <w:pStyle w:val="List2"/>
              <w:rPr>
                <w:lang w:val="en-NZ"/>
              </w:rPr>
            </w:pPr>
            <w:r w:rsidRPr="00B10C93">
              <w:t>4.5.</w:t>
            </w:r>
            <w:r w:rsidRPr="00B10C93">
              <w:tab/>
              <w:t>Identify non-routine problems and report to designated person</w:t>
            </w:r>
          </w:p>
        </w:tc>
      </w:tr>
      <w:tr w:rsidTr="00F476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List"/>
              <w:rPr>
                <w:lang w:val="en-NZ"/>
              </w:rPr>
            </w:pPr>
            <w:r w:rsidRPr="00B10C93">
              <w:t>5.</w:t>
            </w:r>
            <w:r w:rsidRPr="00B10C93">
              <w:tab/>
              <w:t>Control hazards.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List2"/>
            </w:pPr>
            <w:r w:rsidRPr="00B10C93">
              <w:t>5.1.</w:t>
            </w:r>
            <w:r w:rsidRPr="00B10C93">
              <w:tab/>
              <w:t>Identify hazards from the job to be done</w:t>
            </w:r>
          </w:p>
          <w:p w:rsidR="00000000" w:rsidRPr="00B10C93" w:rsidP="00B10C93">
            <w:pPr>
              <w:pStyle w:val="List2"/>
            </w:pPr>
            <w:r w:rsidRPr="00B10C93">
              <w:t>5.2.</w:t>
            </w:r>
            <w:r w:rsidRPr="00B10C93">
              <w:tab/>
              <w:t>Identify other hazards in the work area</w:t>
            </w:r>
          </w:p>
          <w:p w:rsidR="00000000" w:rsidRPr="00B10C93" w:rsidP="00B10C93">
            <w:pPr>
              <w:pStyle w:val="List2"/>
            </w:pPr>
            <w:r w:rsidRPr="00B10C93">
              <w:t>5.3.</w:t>
            </w:r>
            <w:r w:rsidRPr="00B10C93">
              <w:tab/>
              <w:t>Assess t</w:t>
            </w:r>
            <w:r w:rsidRPr="00B10C93">
              <w:t>he risks arising from those hazards</w:t>
            </w:r>
          </w:p>
          <w:p w:rsidR="00000000" w:rsidRPr="00B10C93" w:rsidP="00B10C93">
            <w:pPr>
              <w:pStyle w:val="List2"/>
            </w:pPr>
            <w:r w:rsidRPr="00B10C93">
              <w:t>5.4.</w:t>
            </w:r>
            <w:r w:rsidRPr="00B10C93">
              <w:tab/>
              <w:t>Implement measures to control those risks in line with procedures</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9" w:name="O_110195"/>
      <w:bookmarkEnd w:id="9"/>
      <w:r w:rsidRPr="00B10C93">
        <w:t>Required Skills and Knowledge</w:t>
      </w:r>
    </w:p>
    <w:tbl>
      <w:tblPr>
        <w:tblW w:w="0" w:type="auto"/>
        <w:tblLayout w:type="fixed"/>
        <w:tblCellMar>
          <w:left w:w="62" w:type="dxa"/>
          <w:right w:w="62" w:type="dxa"/>
        </w:tblCellMar>
        <w:tblLook w:val="0000"/>
      </w:tblPr>
      <w:tblGrid>
        <w:gridCol w:w="8522"/>
      </w:tblGrid>
      <w:tr w:rsidTr="00F476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REQUIRED SKILLS AND KNOWLEDGE</w:t>
            </w:r>
          </w:p>
        </w:tc>
      </w:tr>
      <w:tr w:rsidTr="00F476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This section describes the skills and knowledge required for this unit.</w:t>
            </w:r>
          </w:p>
        </w:tc>
      </w:tr>
      <w:tr w:rsidTr="00F476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Required skills</w:t>
            </w:r>
          </w:p>
        </w:tc>
      </w:tr>
      <w:tr w:rsidTr="00F476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Required skills include:</w:t>
            </w:r>
          </w:p>
          <w:p w:rsidR="00000000" w:rsidRPr="00B10C93" w:rsidP="00B10C93">
            <w:pPr>
              <w:pStyle w:val="ListBullet"/>
            </w:pPr>
            <w:r w:rsidRPr="00B10C93">
              <w:t>recognising process conditions which will lead to out of specification production and taking appropriate action</w:t>
            </w:r>
          </w:p>
          <w:p w:rsidR="00000000" w:rsidRPr="00B10C93" w:rsidP="00B10C93">
            <w:pPr>
              <w:pStyle w:val="ListBullet"/>
            </w:pPr>
            <w:r w:rsidRPr="00B10C93">
              <w:t>implement the enterprise's standard procedures and work instructions and relevant regulatory requirements within appropriate time constraints and in a manner relevant to the operation of the forming equipment</w:t>
            </w:r>
          </w:p>
          <w:p w:rsidR="00000000" w:rsidP="00B10C93">
            <w:pPr>
              <w:pStyle w:val="ListBullet"/>
              <w:rPr>
                <w:lang w:val="en-NZ"/>
              </w:rPr>
            </w:pPr>
            <w:r w:rsidRPr="00B10C93">
              <w:t>reading and numeracy to interpret workplace doc</w:t>
            </w:r>
            <w:r w:rsidRPr="00B10C93">
              <w:t>uments and technical information</w:t>
            </w:r>
          </w:p>
        </w:tc>
      </w:tr>
      <w:tr w:rsidTr="00F476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Required knowledge</w:t>
            </w:r>
          </w:p>
        </w:tc>
      </w:tr>
      <w:tr w:rsidTr="00F476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Required knowledge includes:</w:t>
            </w:r>
          </w:p>
          <w:p w:rsidR="00000000" w:rsidRPr="00B10C93" w:rsidP="00B10C93">
            <w:pPr>
              <w:pStyle w:val="ListBullet"/>
            </w:pPr>
            <w:r w:rsidRPr="00B10C93">
              <w:t>composition and nature of the glass</w:t>
            </w:r>
          </w:p>
          <w:p w:rsidR="00000000" w:rsidRPr="00B10C93" w:rsidP="00B10C93">
            <w:pPr>
              <w:pStyle w:val="ListBullet"/>
            </w:pPr>
            <w:r w:rsidRPr="00B10C93">
              <w:t>setup/changeover of equipment</w:t>
            </w:r>
          </w:p>
          <w:p w:rsidR="00000000" w:rsidRPr="00B10C93" w:rsidP="00B10C93">
            <w:pPr>
              <w:pStyle w:val="ListBullet"/>
            </w:pPr>
            <w:r w:rsidRPr="00B10C93">
              <w:t>startup and shutdown processes</w:t>
            </w:r>
          </w:p>
          <w:p w:rsidR="00000000" w:rsidRPr="00B10C93" w:rsidP="00B10C93">
            <w:pPr>
              <w:pStyle w:val="ListBullet"/>
            </w:pPr>
            <w:r w:rsidRPr="00B10C93">
              <w:t>construction and limitations of the equipment</w:t>
            </w:r>
          </w:p>
          <w:p w:rsidR="00000000" w:rsidRPr="00B10C93" w:rsidP="00B10C93">
            <w:pPr>
              <w:pStyle w:val="ListBullet"/>
            </w:pPr>
            <w:r w:rsidRPr="00B10C93">
              <w:t>out of specification situatio</w:t>
            </w:r>
            <w:r w:rsidRPr="00B10C93">
              <w:t>ns</w:t>
            </w:r>
          </w:p>
          <w:p w:rsidR="00000000" w:rsidRPr="00B10C93" w:rsidP="00B10C93">
            <w:pPr>
              <w:pStyle w:val="ListBullet"/>
            </w:pPr>
            <w:r w:rsidRPr="00B10C93">
              <w:t>quality problems include:</w:t>
            </w:r>
          </w:p>
          <w:p w:rsidR="00000000" w:rsidRPr="00B10C93" w:rsidP="00B10C93">
            <w:pPr>
              <w:pStyle w:val="ListBullet2"/>
            </w:pPr>
            <w:r w:rsidRPr="00B10C93">
              <w:t>poor optics</w:t>
            </w:r>
          </w:p>
          <w:p w:rsidR="00000000" w:rsidRPr="00B10C93" w:rsidP="00B10C93">
            <w:pPr>
              <w:pStyle w:val="ListBullet2"/>
            </w:pPr>
            <w:r w:rsidRPr="00B10C93">
              <w:t>excessive breakage</w:t>
            </w:r>
          </w:p>
          <w:p w:rsidR="00000000" w:rsidRPr="00B10C93" w:rsidP="00B10C93">
            <w:pPr>
              <w:pStyle w:val="ListBullet2"/>
            </w:pPr>
            <w:r w:rsidRPr="00B10C93">
              <w:t>non-uniform break pattern</w:t>
            </w:r>
          </w:p>
          <w:p w:rsidR="00000000" w:rsidRPr="00B10C93" w:rsidP="00B10C93">
            <w:pPr>
              <w:pStyle w:val="ListBullet2"/>
            </w:pPr>
            <w:r w:rsidRPr="00B10C93">
              <w:t>excessive bow</w:t>
            </w:r>
          </w:p>
          <w:p w:rsidR="00000000" w:rsidRPr="00B10C93" w:rsidP="00B10C93">
            <w:pPr>
              <w:pStyle w:val="ListBullet2"/>
            </w:pPr>
            <w:r w:rsidRPr="00B10C93">
              <w:t>scratches</w:t>
            </w:r>
          </w:p>
          <w:p w:rsidR="00000000" w:rsidRPr="00B10C93" w:rsidP="00B10C93">
            <w:pPr>
              <w:pStyle w:val="ListBullet2"/>
            </w:pPr>
            <w:r w:rsidRPr="00B10C93">
              <w:t>poor glass shape</w:t>
            </w:r>
          </w:p>
          <w:p w:rsidR="00000000" w:rsidRPr="00B10C93" w:rsidP="00B10C93">
            <w:pPr>
              <w:pStyle w:val="ListBullet"/>
            </w:pPr>
            <w:r w:rsidRPr="00B10C93">
              <w:t>distinguish between causes of faults such as:</w:t>
            </w:r>
          </w:p>
          <w:p w:rsidR="00000000" w:rsidRPr="00B10C93" w:rsidP="00B10C93">
            <w:pPr>
              <w:pStyle w:val="ListBullet2"/>
            </w:pPr>
            <w:r w:rsidRPr="00B10C93">
              <w:t>raw materials</w:t>
            </w:r>
          </w:p>
          <w:p w:rsidR="00000000" w:rsidRPr="00B10C93" w:rsidP="00B10C93">
            <w:pPr>
              <w:pStyle w:val="ListBullet2"/>
            </w:pPr>
            <w:r w:rsidRPr="00B10C93">
              <w:t>equipment</w:t>
            </w:r>
          </w:p>
          <w:p w:rsidR="00000000" w:rsidRPr="00B10C93" w:rsidP="00B10C93">
            <w:pPr>
              <w:pStyle w:val="ListBullet2"/>
            </w:pPr>
            <w:r w:rsidRPr="00B10C93">
              <w:t>types of defects/faults</w:t>
            </w:r>
          </w:p>
          <w:p w:rsidR="00000000" w:rsidRPr="00B10C93" w:rsidP="00B10C93">
            <w:pPr>
              <w:pStyle w:val="ListBullet2"/>
            </w:pPr>
            <w:r w:rsidRPr="00B10C93">
              <w:t>electrical/instrumental</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10" w:name="O_110196"/>
      <w:bookmarkEnd w:id="10"/>
      <w:r w:rsidRPr="00B10C93">
        <w:t>Evidence Guide</w:t>
      </w:r>
    </w:p>
    <w:tbl>
      <w:tblPr>
        <w:tblW w:w="9570" w:type="dxa"/>
        <w:tblLayout w:type="fixed"/>
        <w:tblCellMar>
          <w:left w:w="62" w:type="dxa"/>
          <w:right w:w="62" w:type="dxa"/>
        </w:tblCellMar>
        <w:tblLook w:val="0000"/>
      </w:tblPr>
      <w:tblGrid>
        <w:gridCol w:w="3908"/>
        <w:gridCol w:w="5662"/>
      </w:tblGrid>
      <w:tr w:rsidTr="00F476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EVIDENCE GUIDE</w:t>
            </w:r>
          </w:p>
        </w:tc>
      </w:tr>
      <w:tr w:rsidTr="00F476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The Evidence Guide provides advice on assessment and must be read in conjunction with the performance criteria, required skills and knowledge, range statement and the Assessment Guidelines for the Training Pa</w:t>
            </w:r>
            <w:r w:rsidRPr="00B10C93">
              <w:t>ckage.</w:t>
            </w:r>
          </w:p>
        </w:tc>
      </w:tr>
      <w:tr w:rsidTr="00F476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 xml:space="preserve">The unit will be assessed in as holistic a manner as is practical and may be integrated with the assessment of other relevant units of competency. </w:t>
            </w:r>
          </w:p>
        </w:tc>
      </w:tr>
      <w:tr w:rsidTr="00F476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It is essential that the reheating equipment be understood and that the importance of critical material properties, settings, parameters and readings is known. Com</w:t>
            </w:r>
            <w:r w:rsidRPr="00B10C93">
              <w:t>petence must be demonstrated in the ability to recognise and analyse potential situations requiring action and then in implementing appropriate corrective action.</w:t>
            </w:r>
          </w:p>
          <w:p w:rsidR="00000000" w:rsidRPr="00B10C93" w:rsidP="00B10C93">
            <w:pPr>
              <w:pStyle w:val="BodyText"/>
            </w:pPr>
            <w:r w:rsidRPr="00B10C93">
              <w:t>Consistent performance should be demonstrated. In particular look to see that:</w:t>
            </w:r>
          </w:p>
          <w:p w:rsidR="00000000" w:rsidRPr="00B10C93" w:rsidP="00B10C93">
            <w:pPr>
              <w:pStyle w:val="ListBullet"/>
            </w:pPr>
            <w:r w:rsidRPr="00B10C93">
              <w:t xml:space="preserve">temperatures </w:t>
            </w:r>
            <w:r w:rsidRPr="00B10C93">
              <w:t>are maintained within limits</w:t>
            </w:r>
          </w:p>
          <w:p w:rsidR="00000000" w:rsidRPr="00B10C93" w:rsidP="00B10C93">
            <w:pPr>
              <w:pStyle w:val="ListBullet"/>
            </w:pPr>
            <w:r w:rsidRPr="00B10C93">
              <w:t>startup and shutdown occur first time</w:t>
            </w:r>
          </w:p>
          <w:p w:rsidR="00000000" w:rsidRPr="00B10C93" w:rsidP="00B10C93">
            <w:pPr>
              <w:pStyle w:val="ListBullet"/>
            </w:pPr>
            <w:r w:rsidRPr="00B10C93">
              <w:t>signals and alarms are responded to immediately</w:t>
            </w:r>
          </w:p>
          <w:p w:rsidR="00000000" w:rsidRPr="00B10C93" w:rsidP="00B10C93">
            <w:pPr>
              <w:pStyle w:val="ListBullet"/>
            </w:pPr>
            <w:r w:rsidRPr="00B10C93">
              <w:t>process measurements are continually made, observed and interpreted</w:t>
            </w:r>
          </w:p>
          <w:p w:rsidR="00000000" w:rsidP="00B10C93">
            <w:pPr>
              <w:pStyle w:val="ListBullet"/>
              <w:rPr>
                <w:lang w:val="en-NZ"/>
              </w:rPr>
            </w:pPr>
            <w:r w:rsidRPr="00B10C93">
              <w:t>quality is maintained to customer specifications.</w:t>
            </w:r>
          </w:p>
        </w:tc>
      </w:tr>
      <w:tr w:rsidTr="00F476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Context of and specifi</w:t>
            </w:r>
            <w:r w:rsidRPr="00B10C93">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 xml:space="preserve">Assessment will require access to an operating plant over an extended period of time, or a suitable method of gathering evidence of operating ability over a range of situations. </w:t>
            </w:r>
          </w:p>
          <w:p w:rsidR="00000000" w:rsidRPr="00B10C93" w:rsidP="00B10C93">
            <w:pPr>
              <w:pStyle w:val="BodyText"/>
            </w:pPr>
            <w:r w:rsidRPr="00B10C93">
              <w:t>Assessment will occur over a range of situations w</w:t>
            </w:r>
            <w:r w:rsidRPr="00B10C93">
              <w:t>hich will include disruptions to normal, smooth operation.</w:t>
            </w:r>
          </w:p>
          <w:p w:rsidR="00000000" w:rsidP="00B10C93">
            <w:pPr>
              <w:pStyle w:val="BodyText"/>
              <w:rPr>
                <w:lang w:val="en-NZ"/>
              </w:rPr>
            </w:pPr>
            <w:r w:rsidRPr="00B10C93">
              <w:t>Simulation or case studies/scenarios may be required to allow for timely assessment of parts of this unit of competency. Simulation should be based on the actual plant and will include 'walk-throug</w:t>
            </w:r>
            <w:r w:rsidRPr="00B10C93">
              <w:t>hs' of the relevant competency components. A bank of scenarios/case studies/what ifs and questions will be required to probe the reasoning behind observable actions.</w:t>
            </w:r>
          </w:p>
        </w:tc>
      </w:tr>
      <w:tr w:rsidTr="00F476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 xml:space="preserve">In all plants it may be appropriate to assess this unit concurrently with relevant teamwork and communication units. </w:t>
            </w:r>
          </w:p>
          <w:p w:rsidR="00000000" w:rsidP="00B10C93">
            <w:pPr>
              <w:pStyle w:val="BodyText"/>
              <w:rPr>
                <w:lang w:val="en-NZ"/>
              </w:rPr>
            </w:pPr>
            <w:r w:rsidRPr="00B10C93">
              <w:t>Individual enterprises may choose to add prerequisites and co-requisites relevant to their processes.</w:t>
            </w:r>
          </w:p>
        </w:tc>
      </w:tr>
      <w:tr w:rsidTr="00F476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Assessment processes and techniques must be culturally appropriate and appropriate to the language and literacy capacity of the candidate and the work being performed.</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11" w:name="O_110197"/>
      <w:bookmarkEnd w:id="11"/>
      <w:r w:rsidRPr="00B10C93">
        <w:t>Range Statement</w:t>
      </w:r>
    </w:p>
    <w:tbl>
      <w:tblPr>
        <w:tblW w:w="0" w:type="auto"/>
        <w:tblLayout w:type="fixed"/>
        <w:tblCellMar>
          <w:left w:w="62" w:type="dxa"/>
          <w:right w:w="62" w:type="dxa"/>
        </w:tblCellMar>
        <w:tblLook w:val="0000"/>
      </w:tblPr>
      <w:tblGrid>
        <w:gridCol w:w="3498"/>
        <w:gridCol w:w="5024"/>
      </w:tblGrid>
      <w:tr w:rsidTr="00F476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RANGE STATEMENT</w:t>
            </w:r>
          </w:p>
        </w:tc>
      </w:tr>
      <w:tr w:rsidTr="00F476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The range statement relates to the</w:t>
            </w:r>
            <w:r w:rsidRPr="00B10C93">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B10C93">
              <w:t>raining and assessment (depending on the work situation, needs of the candidate, accessibility of the item, and local industry and regional contexts) may also be included.</w:t>
            </w:r>
          </w:p>
        </w:tc>
      </w:tr>
      <w:tr w:rsidTr="00F476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t>All operations are performed in accordance with standard procedures and work instructions</w:t>
            </w:r>
          </w:p>
        </w:tc>
      </w:tr>
      <w:tr w:rsidTr="00F476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Equipment</w:t>
            </w:r>
            <w:r w:rsidRPr="00B10C93">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Equipment may include:</w:t>
            </w:r>
          </w:p>
          <w:p w:rsidR="00000000" w:rsidRPr="00B10C93" w:rsidP="00B10C93">
            <w:pPr>
              <w:pStyle w:val="ListBullet"/>
            </w:pPr>
            <w:r w:rsidRPr="00B10C93">
              <w:t>bath</w:t>
            </w:r>
          </w:p>
          <w:p w:rsidR="00000000" w:rsidRPr="00B10C93" w:rsidP="00B10C93">
            <w:pPr>
              <w:pStyle w:val="ListBullet"/>
            </w:pPr>
            <w:r w:rsidRPr="00B10C93">
              <w:t>ancillary equipment</w:t>
            </w:r>
          </w:p>
          <w:p w:rsidR="00000000" w:rsidRPr="00B10C93" w:rsidP="00B10C93">
            <w:pPr>
              <w:pStyle w:val="ListBullet"/>
            </w:pPr>
            <w:r w:rsidRPr="00B10C93">
              <w:t>computers</w:t>
            </w:r>
          </w:p>
          <w:p w:rsidR="00000000" w:rsidRPr="00B10C93" w:rsidP="00B10C93">
            <w:pPr>
              <w:pStyle w:val="ListBullet"/>
            </w:pPr>
            <w:r w:rsidRPr="00B10C93">
              <w:t>measuring recording equipment</w:t>
            </w:r>
          </w:p>
          <w:p w:rsidR="00000000" w:rsidRPr="00B10C93" w:rsidP="00B10C93">
            <w:pPr>
              <w:pStyle w:val="ListBullet"/>
            </w:pPr>
            <w:r w:rsidRPr="00B10C93">
              <w:t>communication equipment</w:t>
            </w:r>
          </w:p>
          <w:p w:rsidR="00000000" w:rsidRPr="00B10C93" w:rsidP="00B10C93">
            <w:pPr>
              <w:pStyle w:val="ListBullet"/>
            </w:pPr>
            <w:r w:rsidRPr="00B10C93">
              <w:t>hand tools</w:t>
            </w:r>
          </w:p>
          <w:p w:rsidR="00000000" w:rsidP="00B10C93">
            <w:pPr>
              <w:pStyle w:val="ListBullet"/>
              <w:rPr>
                <w:lang w:val="en-NZ"/>
              </w:rPr>
            </w:pPr>
            <w:r w:rsidRPr="00B10C93">
              <w:t>safety clothing and equipment</w:t>
            </w:r>
          </w:p>
        </w:tc>
      </w:tr>
      <w:tr w:rsidTr="00F476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Typical problems</w:t>
            </w:r>
            <w:r w:rsidRPr="00B10C93">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Typical problems may include:</w:t>
            </w:r>
          </w:p>
          <w:p w:rsidR="00000000" w:rsidRPr="00B10C93" w:rsidP="00B10C93">
            <w:pPr>
              <w:pStyle w:val="ListBullet"/>
            </w:pPr>
            <w:r w:rsidRPr="00B10C93">
              <w:t>temperature and pressure problems</w:t>
            </w:r>
          </w:p>
          <w:p w:rsidR="00000000" w:rsidRPr="00B10C93" w:rsidP="00B10C93">
            <w:pPr>
              <w:pStyle w:val="ListBullet"/>
            </w:pPr>
            <w:r w:rsidRPr="00B10C93">
              <w:t>equipment problems</w:t>
            </w:r>
          </w:p>
          <w:p w:rsidR="00000000" w:rsidRPr="00B10C93" w:rsidP="00B10C93">
            <w:pPr>
              <w:pStyle w:val="ListBullet"/>
            </w:pPr>
            <w:r w:rsidRPr="00B10C93">
              <w:t>quality problems</w:t>
            </w:r>
          </w:p>
          <w:p w:rsidR="00000000" w:rsidP="00B10C93">
            <w:pPr>
              <w:pStyle w:val="ListBullet"/>
              <w:rPr>
                <w:lang w:val="en-NZ"/>
              </w:rPr>
            </w:pPr>
            <w:r w:rsidRPr="00B10C93">
              <w:t>loss of ribbon</w:t>
            </w:r>
          </w:p>
        </w:tc>
      </w:tr>
      <w:tr w:rsidTr="00F476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Occupational health and safety</w:t>
            </w:r>
            <w:r w:rsidRPr="00B10C93">
              <w:t xml:space="preserve"> (</w:t>
            </w:r>
            <w:r w:rsidRPr="00B10C93">
              <w:rPr>
                <w:rStyle w:val="SpecialBold"/>
              </w:rPr>
              <w:t>OHS</w:t>
            </w:r>
            <w:r w:rsidRPr="00B10C9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All operations are subject to stringent OHS requirements and these must not be comp</w:t>
            </w:r>
            <w:r w:rsidRPr="00B10C93">
              <w:t>romised at any time. Where there is an apparent conflict between performance criteria and OHS requirements, the OHS requirements take precedence</w:t>
            </w:r>
          </w:p>
        </w:tc>
      </w:tr>
    </w:tbl>
    <w:p w:rsidR="00F476C2" w:rsidP="00B10C93">
      <w:pPr>
        <w:pStyle w:val="BodyText"/>
      </w:pPr>
    </w:p>
    <w:p w:rsidR="00F476C2" w:rsidP="00B10C93">
      <w:pPr>
        <w:pStyle w:val="BodyText"/>
      </w:pPr>
    </w:p>
    <w:p w:rsidR="00000000" w:rsidRPr="00B10C93" w:rsidP="00B10C93">
      <w:pPr>
        <w:pStyle w:val="Heading1"/>
      </w:pPr>
      <w:bookmarkStart w:id="12" w:name="O_110198"/>
      <w:bookmarkEnd w:id="12"/>
      <w:r w:rsidRPr="00B10C93">
        <w:t>Unit Sector(s)</w:t>
      </w:r>
    </w:p>
    <w:tbl>
      <w:tblPr>
        <w:tblW w:w="0" w:type="auto"/>
        <w:tblLayout w:type="fixed"/>
        <w:tblCellMar>
          <w:left w:w="62" w:type="dxa"/>
          <w:right w:w="62" w:type="dxa"/>
        </w:tblCellMar>
        <w:tblLook w:val="0000"/>
      </w:tblPr>
      <w:tblGrid>
        <w:gridCol w:w="2567"/>
        <w:gridCol w:w="5955"/>
      </w:tblGrid>
      <w:tr w:rsidTr="00F476C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r w:rsidRPr="00B10C93">
              <w:t>Operational/technical</w:t>
            </w: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13" w:name="O_160133"/>
      <w:bookmarkEnd w:id="13"/>
      <w:r w:rsidRPr="00B10C93">
        <w:t>Competency field</w:t>
      </w:r>
    </w:p>
    <w:tbl>
      <w:tblPr>
        <w:tblW w:w="0" w:type="auto"/>
        <w:tblLayout w:type="fixed"/>
        <w:tblCellMar>
          <w:left w:w="62" w:type="dxa"/>
          <w:right w:w="62" w:type="dxa"/>
        </w:tblCellMar>
        <w:tblLook w:val="0000"/>
      </w:tblPr>
      <w:tblGrid>
        <w:gridCol w:w="2784"/>
        <w:gridCol w:w="5738"/>
      </w:tblGrid>
      <w:tr w:rsidTr="00F476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p>
        </w:tc>
      </w:tr>
    </w:tbl>
    <w:p w:rsidR="00000000" w:rsidRPr="00B10C93" w:rsidP="00B10C93">
      <w:pPr>
        <w:pStyle w:val="BodyText"/>
      </w:pPr>
    </w:p>
    <w:p w:rsidR="00000000" w:rsidRPr="00B10C93" w:rsidP="00B10C93">
      <w:pPr>
        <w:pStyle w:val="AllowPageBreak"/>
      </w:pPr>
    </w:p>
    <w:p w:rsidR="00000000" w:rsidRPr="00B10C93" w:rsidP="00B10C93">
      <w:pPr>
        <w:pStyle w:val="Heading1"/>
      </w:pPr>
      <w:bookmarkStart w:id="14" w:name="O_160132"/>
      <w:bookmarkEnd w:id="14"/>
      <w:r w:rsidRPr="00B10C93">
        <w:t>Co-requisite units</w:t>
      </w:r>
    </w:p>
    <w:tbl>
      <w:tblPr>
        <w:tblW w:w="0" w:type="auto"/>
        <w:tblLayout w:type="fixed"/>
        <w:tblCellMar>
          <w:left w:w="62" w:type="dxa"/>
          <w:right w:w="62" w:type="dxa"/>
        </w:tblCellMar>
        <w:tblLook w:val="0000"/>
      </w:tblPr>
      <w:tblGrid>
        <w:gridCol w:w="2641"/>
        <w:gridCol w:w="1322"/>
        <w:gridCol w:w="4559"/>
      </w:tblGrid>
      <w:tr w:rsidTr="00F476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r w:rsidRPr="00B10C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p>
        </w:tc>
      </w:tr>
      <w:tr w:rsidTr="00F476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93">
            <w:pPr>
              <w:pStyle w:val="BodyText"/>
              <w:rPr>
                <w:lang w:val="en-NZ"/>
              </w:rPr>
            </w:pPr>
          </w:p>
        </w:tc>
      </w:tr>
      <w:tr w:rsidTr="00F476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93" w:rsidP="00B10C93">
            <w:pPr>
              <w:pStyle w:val="BodyText"/>
            </w:pPr>
          </w:p>
        </w:tc>
      </w:tr>
    </w:tbl>
    <w:p w:rsidR="00000000" w:rsidRPr="00B10C93" w:rsidP="00B10C93">
      <w:pPr>
        <w:pStyle w:val="BodyText"/>
      </w:pPr>
    </w:p>
    <w:p w:rsidR="00000000" w:rsidRPr="00B10C93" w:rsidP="00B10C93"/>
    <w:sectPr w:rsidSect="00B10C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6C2" w:rsidP="00F47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C2" w:rsidP="00B10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76C2" w:rsidP="00B10C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76C2" w:rsidP="00B10C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6C2" w:rsidP="00F476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C2" w:rsidP="00B10C93">
    <w:pPr>
      <w:pStyle w:val="Header"/>
      <w:framePr w:wrap="around"/>
    </w:pPr>
    <w:r>
      <w:fldChar w:fldCharType="begin"/>
    </w:r>
    <w:r>
      <w:instrText xml:space="preserve"> TITLE   \* MERGEFORMAT </w:instrText>
    </w:r>
    <w:r>
      <w:fldChar w:fldCharType="separate"/>
    </w:r>
    <w:r>
      <w:t>PMC552043C Operate float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76C2" w:rsidP="00B10C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66A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4F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64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C93"/>
    <w:pPr>
      <w:spacing w:before="360" w:after="60"/>
      <w:outlineLvl w:val="0"/>
    </w:pPr>
    <w:rPr>
      <w:sz w:val="32"/>
    </w:rPr>
  </w:style>
  <w:style w:type="paragraph" w:styleId="Heading2">
    <w:name w:val="heading 2"/>
    <w:basedOn w:val="HeadingBase"/>
    <w:next w:val="BodyText"/>
    <w:link w:val="Heading2Char"/>
    <w:qFormat/>
    <w:rsid w:val="00B10C93"/>
    <w:pPr>
      <w:keepLines/>
      <w:spacing w:before="240" w:after="120"/>
      <w:outlineLvl w:val="1"/>
    </w:pPr>
    <w:rPr>
      <w:sz w:val="28"/>
      <w:szCs w:val="40"/>
    </w:rPr>
  </w:style>
  <w:style w:type="paragraph" w:styleId="Heading3">
    <w:name w:val="heading 3"/>
    <w:basedOn w:val="HeadingBase"/>
    <w:next w:val="BodyText"/>
    <w:link w:val="Heading3Char"/>
    <w:qFormat/>
    <w:rsid w:val="00B10C93"/>
    <w:pPr>
      <w:spacing w:before="180" w:after="120"/>
      <w:outlineLvl w:val="2"/>
    </w:pPr>
    <w:rPr>
      <w:spacing w:val="-10"/>
      <w:kern w:val="32"/>
    </w:rPr>
  </w:style>
  <w:style w:type="paragraph" w:styleId="Heading4">
    <w:name w:val="heading 4"/>
    <w:basedOn w:val="HeadingBase"/>
    <w:next w:val="BodyText"/>
    <w:link w:val="Heading4Char"/>
    <w:qFormat/>
    <w:rsid w:val="00B10C93"/>
    <w:pPr>
      <w:spacing w:before="160" w:after="120"/>
      <w:outlineLvl w:val="3"/>
    </w:pPr>
    <w:rPr>
      <w:sz w:val="22"/>
    </w:rPr>
  </w:style>
  <w:style w:type="paragraph" w:styleId="Heading5">
    <w:name w:val="heading 5"/>
    <w:basedOn w:val="HeadingBase"/>
    <w:next w:val="Normal"/>
    <w:link w:val="Heading5Char"/>
    <w:qFormat/>
    <w:rsid w:val="00B10C93"/>
    <w:pPr>
      <w:spacing w:before="80"/>
      <w:outlineLvl w:val="4"/>
    </w:pPr>
    <w:rPr>
      <w:color w:val="918585"/>
      <w:sz w:val="20"/>
    </w:rPr>
  </w:style>
  <w:style w:type="paragraph" w:styleId="Heading6">
    <w:name w:val="heading 6"/>
    <w:basedOn w:val="HeadingBase"/>
    <w:next w:val="Normal"/>
    <w:link w:val="Heading6Char"/>
    <w:qFormat/>
    <w:rsid w:val="00B10C93"/>
    <w:pPr>
      <w:spacing w:before="60"/>
      <w:outlineLvl w:val="5"/>
    </w:pPr>
    <w:rPr>
      <w:color w:val="918585"/>
      <w:sz w:val="20"/>
    </w:rPr>
  </w:style>
  <w:style w:type="paragraph" w:styleId="Heading7">
    <w:name w:val="heading 7"/>
    <w:basedOn w:val="Normal"/>
    <w:next w:val="Normal"/>
    <w:link w:val="Heading7Char"/>
    <w:qFormat/>
    <w:rsid w:val="00B10C93"/>
    <w:pPr>
      <w:ind w:left="720"/>
      <w:outlineLvl w:val="6"/>
    </w:pPr>
    <w:rPr>
      <w:i/>
    </w:rPr>
  </w:style>
  <w:style w:type="paragraph" w:styleId="Heading8">
    <w:name w:val="heading 8"/>
    <w:basedOn w:val="Normal"/>
    <w:next w:val="Normal"/>
    <w:link w:val="Heading8Char"/>
    <w:qFormat/>
    <w:rsid w:val="00B10C93"/>
    <w:pPr>
      <w:ind w:left="720"/>
      <w:outlineLvl w:val="7"/>
    </w:pPr>
    <w:rPr>
      <w:i/>
    </w:rPr>
  </w:style>
  <w:style w:type="paragraph" w:styleId="Heading9">
    <w:name w:val="heading 9"/>
    <w:basedOn w:val="Normal"/>
    <w:next w:val="Normal"/>
    <w:link w:val="Heading9Char"/>
    <w:qFormat/>
    <w:rsid w:val="00B10C93"/>
    <w:pPr>
      <w:ind w:left="720"/>
      <w:outlineLvl w:val="8"/>
    </w:pPr>
    <w:rPr>
      <w:i/>
    </w:rPr>
  </w:style>
  <w:style w:type="character" w:default="1" w:styleId="DefaultParagraphFont">
    <w:name w:val="Default Paragraph Font"/>
    <w:uiPriority w:val="1"/>
    <w:unhideWhenUsed/>
    <w:rsid w:val="00B10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C93"/>
  </w:style>
  <w:style w:type="character" w:customStyle="1" w:styleId="Heading1Char">
    <w:name w:val="Heading 1 Char"/>
    <w:basedOn w:val="DefaultParagraphFont"/>
    <w:link w:val="Heading1"/>
    <w:rsid w:val="00B10C93"/>
    <w:rPr>
      <w:rFonts w:ascii="Times New Roman" w:eastAsia="Times New Roman" w:hAnsi="Times New Roman" w:cs="Times New Roman"/>
      <w:b/>
      <w:sz w:val="32"/>
      <w:szCs w:val="20"/>
      <w:lang w:eastAsia="en-US"/>
    </w:rPr>
  </w:style>
  <w:style w:type="paragraph" w:styleId="BodyText">
    <w:name w:val="Body Text"/>
    <w:basedOn w:val="Normal"/>
    <w:link w:val="BodyTextChar"/>
    <w:rsid w:val="00B10C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C93"/>
    <w:rPr>
      <w:rFonts w:ascii="Times New Roman" w:eastAsia="Times New Roman" w:hAnsi="Times New Roman" w:cs="Times New Roman"/>
      <w:sz w:val="24"/>
      <w:lang w:val="en-US" w:eastAsia="en-US"/>
    </w:rPr>
  </w:style>
  <w:style w:type="paragraph" w:styleId="Footer">
    <w:name w:val="footer"/>
    <w:basedOn w:val="Normal"/>
    <w:link w:val="FooterChar"/>
    <w:rsid w:val="00B10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C93"/>
    <w:rPr>
      <w:rFonts w:ascii="Times New Roman" w:eastAsia="Times New Roman" w:hAnsi="Times New Roman" w:cs="Times New Roman"/>
      <w:sz w:val="16"/>
      <w:lang w:val="en-US" w:eastAsia="en-US"/>
    </w:rPr>
  </w:style>
  <w:style w:type="paragraph" w:styleId="List">
    <w:name w:val="List"/>
    <w:basedOn w:val="BodyText"/>
    <w:next w:val="BodyText"/>
    <w:rsid w:val="00B10C93"/>
    <w:pPr>
      <w:tabs>
        <w:tab w:val="left" w:pos="340"/>
      </w:tabs>
      <w:spacing w:before="60" w:after="60"/>
      <w:ind w:left="340" w:hanging="340"/>
    </w:pPr>
  </w:style>
  <w:style w:type="paragraph" w:styleId="ListBullet">
    <w:name w:val="List Bullet"/>
    <w:basedOn w:val="List"/>
    <w:rsid w:val="00B10C93"/>
    <w:pPr>
      <w:numPr>
        <w:numId w:val="13"/>
      </w:numPr>
      <w:tabs>
        <w:tab w:val="clear" w:pos="340"/>
      </w:tabs>
      <w:spacing w:before="40" w:after="40"/>
    </w:pPr>
  </w:style>
  <w:style w:type="character" w:customStyle="1" w:styleId="SpecialBold">
    <w:name w:val="Special Bold"/>
    <w:basedOn w:val="DefaultParagraphFont"/>
    <w:rsid w:val="00B10C93"/>
    <w:rPr>
      <w:b/>
      <w:spacing w:val="0"/>
    </w:rPr>
  </w:style>
  <w:style w:type="paragraph" w:styleId="ListBullet2">
    <w:name w:val="List Bullet 2"/>
    <w:basedOn w:val="List2"/>
    <w:rsid w:val="00B10C93"/>
    <w:pPr>
      <w:numPr>
        <w:numId w:val="14"/>
      </w:numPr>
      <w:tabs>
        <w:tab w:val="clear" w:pos="680"/>
      </w:tabs>
    </w:pPr>
  </w:style>
  <w:style w:type="paragraph" w:styleId="Header">
    <w:name w:val="header"/>
    <w:basedOn w:val="Normal"/>
    <w:link w:val="HeaderChar"/>
    <w:rsid w:val="00B10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C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0C93"/>
    <w:pPr>
      <w:spacing w:before="240" w:after="120"/>
      <w:outlineLvl w:val="0"/>
    </w:pPr>
    <w:rPr>
      <w:rFonts w:ascii="Times New Roman" w:hAnsi="Times New Roman"/>
      <w:b/>
      <w:sz w:val="28"/>
    </w:rPr>
  </w:style>
  <w:style w:type="paragraph" w:customStyle="1" w:styleId="AllowPageBreak">
    <w:name w:val="AllowPageBreak"/>
    <w:rsid w:val="00B10C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0C93"/>
    <w:pPr>
      <w:tabs>
        <w:tab w:val="left" w:pos="680"/>
      </w:tabs>
      <w:spacing w:before="60" w:after="60"/>
      <w:ind w:left="680" w:hanging="340"/>
    </w:pPr>
  </w:style>
  <w:style w:type="character" w:customStyle="1" w:styleId="Heading2Char">
    <w:name w:val="Heading 2 Char"/>
    <w:basedOn w:val="DefaultParagraphFont"/>
    <w:link w:val="Heading2"/>
    <w:rsid w:val="00B10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C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C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C93"/>
    <w:rPr>
      <w:rFonts w:ascii="Courier New" w:eastAsia="Times New Roman" w:hAnsi="Courier New" w:cs="Times New Roman"/>
      <w:i/>
      <w:szCs w:val="20"/>
      <w:lang w:val="en-US" w:eastAsia="en-US"/>
    </w:rPr>
  </w:style>
  <w:style w:type="paragraph" w:customStyle="1" w:styleId="HeadingBase">
    <w:name w:val="Heading Base"/>
    <w:rsid w:val="00B10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C93"/>
    <w:pPr>
      <w:tabs>
        <w:tab w:val="right" w:leader="dot" w:pos="9072"/>
      </w:tabs>
      <w:ind w:left="567"/>
    </w:pPr>
    <w:rPr>
      <w:szCs w:val="22"/>
    </w:rPr>
  </w:style>
  <w:style w:type="paragraph" w:customStyle="1" w:styleId="TOCBase">
    <w:name w:val="TOC Base"/>
    <w:rsid w:val="00B10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C93"/>
    <w:pPr>
      <w:tabs>
        <w:tab w:val="right" w:leader="dot" w:pos="9072"/>
      </w:tabs>
      <w:spacing w:before="40" w:after="40"/>
      <w:ind w:left="284"/>
    </w:pPr>
    <w:rPr>
      <w:rFonts w:ascii="Times New Roman" w:hAnsi="Times New Roman"/>
    </w:rPr>
  </w:style>
  <w:style w:type="paragraph" w:styleId="TOC1">
    <w:name w:val="toc 1"/>
    <w:basedOn w:val="TOCBase"/>
    <w:next w:val="Normal"/>
    <w:rsid w:val="00B10C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C93"/>
    <w:pPr>
      <w:spacing w:before="5040"/>
      <w:jc w:val="center"/>
    </w:pPr>
    <w:rPr>
      <w:sz w:val="48"/>
      <w:szCs w:val="72"/>
      <w:lang w:val="en-US"/>
    </w:rPr>
  </w:style>
  <w:style w:type="character" w:customStyle="1" w:styleId="TitleChar">
    <w:name w:val="Title Char"/>
    <w:basedOn w:val="DefaultParagraphFont"/>
    <w:link w:val="Title"/>
    <w:rsid w:val="00B10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C93"/>
    <w:pPr>
      <w:tabs>
        <w:tab w:val="left" w:pos="3600"/>
        <w:tab w:val="left" w:pos="3958"/>
      </w:tabs>
    </w:pPr>
  </w:style>
  <w:style w:type="paragraph" w:customStyle="1" w:styleId="Note">
    <w:name w:val="Note"/>
    <w:basedOn w:val="BodyText"/>
    <w:rsid w:val="00B10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C93"/>
    <w:pPr>
      <w:framePr w:wrap="auto" w:hAnchor="text" w:y="6049"/>
    </w:pPr>
    <w:rPr>
      <w:color w:val="000000"/>
      <w:sz w:val="40"/>
    </w:rPr>
  </w:style>
  <w:style w:type="paragraph" w:customStyle="1" w:styleId="TOCTitle">
    <w:name w:val="TOCTitle"/>
    <w:basedOn w:val="Heading1"/>
    <w:rsid w:val="00B10C93"/>
    <w:pPr>
      <w:spacing w:after="240"/>
      <w:jc w:val="center"/>
      <w:outlineLvl w:val="9"/>
    </w:pPr>
    <w:rPr>
      <w:caps/>
    </w:rPr>
  </w:style>
  <w:style w:type="paragraph" w:customStyle="1" w:styleId="Version">
    <w:name w:val="Version"/>
    <w:rsid w:val="00B10C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C93"/>
    <w:pPr>
      <w:keepNext w:val="0"/>
      <w:tabs>
        <w:tab w:val="right" w:pos="4176"/>
      </w:tabs>
      <w:ind w:left="198" w:hanging="198"/>
    </w:pPr>
    <w:rPr>
      <w:rFonts w:ascii="Garamond" w:hAnsi="Garamond"/>
    </w:rPr>
  </w:style>
  <w:style w:type="paragraph" w:styleId="IndexHeading">
    <w:name w:val="index heading"/>
    <w:basedOn w:val="Normal"/>
    <w:next w:val="Index1"/>
    <w:semiHidden/>
    <w:rsid w:val="00B10C93"/>
    <w:pPr>
      <w:spacing w:before="120" w:after="120"/>
    </w:pPr>
    <w:rPr>
      <w:rFonts w:ascii="Arial" w:hAnsi="Arial"/>
      <w:b/>
      <w:color w:val="918585"/>
      <w:sz w:val="24"/>
    </w:rPr>
  </w:style>
  <w:style w:type="paragraph" w:customStyle="1" w:styleId="Chapter">
    <w:name w:val="Chapter"/>
    <w:basedOn w:val="Normal"/>
    <w:rsid w:val="00B10C93"/>
    <w:pPr>
      <w:spacing w:before="240"/>
    </w:pPr>
    <w:rPr>
      <w:rFonts w:ascii="Times New Roman" w:hAnsi="Times New Roman"/>
      <w:smallCaps/>
      <w:spacing w:val="80"/>
      <w:sz w:val="28"/>
    </w:rPr>
  </w:style>
  <w:style w:type="paragraph" w:customStyle="1" w:styleId="InChapter">
    <w:name w:val="InChapter"/>
    <w:basedOn w:val="Heading3"/>
    <w:rsid w:val="00B10C93"/>
    <w:pPr>
      <w:spacing w:after="240"/>
      <w:outlineLvl w:val="9"/>
    </w:pPr>
    <w:rPr>
      <w:noProof/>
    </w:rPr>
  </w:style>
  <w:style w:type="paragraph" w:styleId="Index2">
    <w:name w:val="index 2"/>
    <w:basedOn w:val="Normal"/>
    <w:next w:val="Normal"/>
    <w:semiHidden/>
    <w:rsid w:val="00B10C93"/>
    <w:pPr>
      <w:tabs>
        <w:tab w:val="right" w:pos="4176"/>
      </w:tabs>
      <w:ind w:left="568" w:hanging="284"/>
    </w:pPr>
    <w:rPr>
      <w:rFonts w:ascii="Garamond" w:hAnsi="Garamond"/>
    </w:rPr>
  </w:style>
  <w:style w:type="paragraph" w:customStyle="1" w:styleId="Byline">
    <w:name w:val="Byline"/>
    <w:rsid w:val="00B10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C93"/>
    <w:pPr>
      <w:tabs>
        <w:tab w:val="clear" w:pos="3600"/>
        <w:tab w:val="clear" w:pos="3958"/>
      </w:tabs>
      <w:jc w:val="right"/>
    </w:pPr>
  </w:style>
  <w:style w:type="character" w:styleId="Emphasis">
    <w:name w:val="Emphasis"/>
    <w:basedOn w:val="DefaultParagraphFont"/>
    <w:qFormat/>
    <w:rsid w:val="00B10C93"/>
    <w:rPr>
      <w:i/>
    </w:rPr>
  </w:style>
  <w:style w:type="paragraph" w:styleId="Caption">
    <w:name w:val="caption"/>
    <w:basedOn w:val="BodyText"/>
    <w:next w:val="Normal"/>
    <w:qFormat/>
    <w:rsid w:val="00B10C93"/>
    <w:pPr>
      <w:framePr w:w="2268" w:hSpace="181" w:vSpace="181" w:wrap="around" w:vAnchor="text" w:hAnchor="page" w:x="1135" w:y="285" w:anchorLock="1"/>
    </w:pPr>
    <w:rPr>
      <w:i/>
    </w:rPr>
  </w:style>
  <w:style w:type="paragraph" w:customStyle="1" w:styleId="MiniTOCTitle">
    <w:name w:val="MiniTOCTitle"/>
    <w:basedOn w:val="Heading4"/>
    <w:rsid w:val="00B10C93"/>
    <w:pPr>
      <w:spacing w:before="240"/>
      <w:outlineLvl w:val="9"/>
    </w:pPr>
    <w:rPr>
      <w:noProof/>
      <w:sz w:val="24"/>
    </w:rPr>
  </w:style>
  <w:style w:type="paragraph" w:customStyle="1" w:styleId="MiniTOCItem">
    <w:name w:val="MiniTOCItem"/>
    <w:basedOn w:val="ListBullet"/>
    <w:rsid w:val="00B10C93"/>
    <w:pPr>
      <w:numPr>
        <w:numId w:val="0"/>
      </w:numPr>
      <w:tabs>
        <w:tab w:val="right" w:leader="dot" w:pos="6521"/>
      </w:tabs>
      <w:spacing w:before="0" w:after="0"/>
    </w:pPr>
  </w:style>
  <w:style w:type="paragraph" w:customStyle="1" w:styleId="TOFTitle">
    <w:name w:val="TOFTitle"/>
    <w:basedOn w:val="TOCTitle"/>
    <w:rsid w:val="00B10C93"/>
  </w:style>
  <w:style w:type="paragraph" w:styleId="TableofFigures">
    <w:name w:val="table of figures"/>
    <w:basedOn w:val="Normal"/>
    <w:next w:val="Normal"/>
    <w:semiHidden/>
    <w:rsid w:val="00B10C93"/>
    <w:pPr>
      <w:tabs>
        <w:tab w:val="right" w:leader="dot" w:pos="9072"/>
      </w:tabs>
      <w:ind w:left="970" w:hanging="403"/>
    </w:pPr>
    <w:rPr>
      <w:rFonts w:ascii="Times New Roman" w:hAnsi="Times New Roman"/>
      <w:b/>
    </w:rPr>
  </w:style>
  <w:style w:type="paragraph" w:styleId="ListNumber">
    <w:name w:val="List Number"/>
    <w:basedOn w:val="List"/>
    <w:rsid w:val="00B10C93"/>
    <w:pPr>
      <w:numPr>
        <w:numId w:val="11"/>
      </w:numPr>
    </w:pPr>
  </w:style>
  <w:style w:type="character" w:customStyle="1" w:styleId="WingdingSymbols">
    <w:name w:val="Wingding Symbols"/>
    <w:rsid w:val="00B10C93"/>
    <w:rPr>
      <w:rFonts w:ascii="Wingdings" w:hAnsi="Wingdings"/>
    </w:rPr>
  </w:style>
  <w:style w:type="paragraph" w:customStyle="1" w:styleId="TableHeading">
    <w:name w:val="Table Heading"/>
    <w:basedOn w:val="HeadingBase"/>
    <w:rsid w:val="00B10C93"/>
    <w:pPr>
      <w:keepLines/>
      <w:pBdr>
        <w:bottom w:val="single" w:sz="6" w:space="1" w:color="918585"/>
      </w:pBdr>
      <w:spacing w:before="240"/>
    </w:pPr>
  </w:style>
  <w:style w:type="character" w:customStyle="1" w:styleId="HotSpot">
    <w:name w:val="HotSpot"/>
    <w:rsid w:val="00B10C93"/>
    <w:rPr>
      <w:color w:val="0033CC"/>
      <w:u w:val="none"/>
    </w:rPr>
  </w:style>
  <w:style w:type="paragraph" w:customStyle="1" w:styleId="BodyTextRight">
    <w:name w:val="Body Text Right"/>
    <w:basedOn w:val="BodyText"/>
    <w:rsid w:val="00B10C93"/>
    <w:pPr>
      <w:spacing w:before="0" w:after="0"/>
      <w:jc w:val="right"/>
    </w:pPr>
  </w:style>
  <w:style w:type="paragraph" w:styleId="Index3">
    <w:name w:val="index 3"/>
    <w:basedOn w:val="ListNumber2"/>
    <w:next w:val="Normal"/>
    <w:semiHidden/>
    <w:rsid w:val="00B10C93"/>
    <w:pPr>
      <w:numPr>
        <w:numId w:val="0"/>
      </w:numPr>
      <w:tabs>
        <w:tab w:val="right" w:leader="dot" w:pos="4176"/>
      </w:tabs>
    </w:pPr>
  </w:style>
  <w:style w:type="paragraph" w:styleId="ListNumber2">
    <w:name w:val="List Number 2"/>
    <w:basedOn w:val="List2"/>
    <w:rsid w:val="00B10C93"/>
    <w:pPr>
      <w:numPr>
        <w:numId w:val="10"/>
      </w:numPr>
      <w:tabs>
        <w:tab w:val="clear" w:pos="1060"/>
      </w:tabs>
    </w:pPr>
  </w:style>
  <w:style w:type="paragraph" w:customStyle="1" w:styleId="MarginNote">
    <w:name w:val="Margin Note"/>
    <w:basedOn w:val="BodyText"/>
    <w:rsid w:val="00B10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C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C93"/>
    <w:rPr>
      <w:sz w:val="32"/>
    </w:rPr>
  </w:style>
  <w:style w:type="paragraph" w:customStyle="1" w:styleId="HeadingProcedure">
    <w:name w:val="Heading Procedure"/>
    <w:basedOn w:val="HeadingBase"/>
    <w:next w:val="Normal"/>
    <w:rsid w:val="00B10C93"/>
    <w:pPr>
      <w:tabs>
        <w:tab w:val="left" w:pos="0"/>
      </w:tabs>
      <w:spacing w:before="120" w:after="60"/>
    </w:pPr>
    <w:rPr>
      <w:i/>
      <w:color w:val="918585"/>
      <w:sz w:val="22"/>
    </w:rPr>
  </w:style>
  <w:style w:type="paragraph" w:customStyle="1" w:styleId="TableBodyText">
    <w:name w:val="Table Body Text"/>
    <w:basedOn w:val="BodyText"/>
    <w:rsid w:val="00B10C93"/>
    <w:pPr>
      <w:spacing w:before="60" w:after="60"/>
    </w:pPr>
  </w:style>
  <w:style w:type="paragraph" w:styleId="ListContinue">
    <w:name w:val="List Continue"/>
    <w:basedOn w:val="List"/>
    <w:rsid w:val="00B10C93"/>
    <w:pPr>
      <w:ind w:firstLine="0"/>
    </w:pPr>
  </w:style>
  <w:style w:type="paragraph" w:customStyle="1" w:styleId="ListNote">
    <w:name w:val="List Note"/>
    <w:basedOn w:val="List"/>
    <w:rsid w:val="00B10C93"/>
    <w:pPr>
      <w:pBdr>
        <w:top w:val="single" w:sz="6" w:space="2" w:color="918585"/>
        <w:bottom w:val="single" w:sz="6" w:space="2" w:color="918585"/>
      </w:pBdr>
      <w:tabs>
        <w:tab w:val="left" w:pos="1021"/>
      </w:tabs>
      <w:ind w:firstLine="0"/>
    </w:pPr>
  </w:style>
  <w:style w:type="paragraph" w:customStyle="1" w:styleId="Warning">
    <w:name w:val="Warning"/>
    <w:basedOn w:val="BodyText"/>
    <w:rsid w:val="00B10C93"/>
    <w:pPr>
      <w:shd w:val="clear" w:color="auto" w:fill="D9D9D9"/>
      <w:tabs>
        <w:tab w:val="left" w:pos="992"/>
      </w:tabs>
      <w:ind w:left="119" w:right="119"/>
    </w:pPr>
    <w:rPr>
      <w:sz w:val="20"/>
    </w:rPr>
  </w:style>
  <w:style w:type="paragraph" w:customStyle="1" w:styleId="MarginIcons">
    <w:name w:val="Margin Icons"/>
    <w:basedOn w:val="BodyText"/>
    <w:rsid w:val="00B10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C93"/>
    <w:rPr>
      <w:rFonts w:ascii="Courier New" w:hAnsi="Courier New"/>
    </w:rPr>
  </w:style>
  <w:style w:type="paragraph" w:customStyle="1" w:styleId="NoteBullet">
    <w:name w:val="Note Bullet"/>
    <w:basedOn w:val="Note"/>
    <w:rsid w:val="00B10C93"/>
    <w:pPr>
      <w:tabs>
        <w:tab w:val="clear" w:pos="680"/>
      </w:tabs>
      <w:spacing w:before="60" w:after="60"/>
    </w:pPr>
  </w:style>
  <w:style w:type="paragraph" w:customStyle="1" w:styleId="SubHeading2">
    <w:name w:val="SubHeading2"/>
    <w:basedOn w:val="HeadingBase"/>
    <w:rsid w:val="00B10C93"/>
    <w:pPr>
      <w:spacing w:before="240" w:after="60"/>
    </w:pPr>
    <w:rPr>
      <w:sz w:val="20"/>
    </w:rPr>
  </w:style>
  <w:style w:type="paragraph" w:customStyle="1" w:styleId="SubHeading1">
    <w:name w:val="SubHeading1"/>
    <w:basedOn w:val="HeadingBase"/>
    <w:rsid w:val="00B10C93"/>
    <w:pPr>
      <w:spacing w:before="240" w:after="60"/>
    </w:pPr>
    <w:rPr>
      <w:color w:val="918585"/>
      <w:sz w:val="22"/>
    </w:rPr>
  </w:style>
  <w:style w:type="paragraph" w:customStyle="1" w:styleId="SideHeading">
    <w:name w:val="Side Heading"/>
    <w:basedOn w:val="HeadingBase"/>
    <w:rsid w:val="00B10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C93"/>
    <w:pPr>
      <w:numPr>
        <w:numId w:val="12"/>
      </w:numPr>
    </w:pPr>
  </w:style>
  <w:style w:type="paragraph" w:styleId="PlainText">
    <w:name w:val="Plain Text"/>
    <w:basedOn w:val="Normal"/>
    <w:link w:val="PlainTextChar"/>
    <w:rsid w:val="00B10C93"/>
    <w:rPr>
      <w:sz w:val="20"/>
    </w:rPr>
  </w:style>
  <w:style w:type="character" w:customStyle="1" w:styleId="PlainTextChar">
    <w:name w:val="Plain Text Char"/>
    <w:basedOn w:val="DefaultParagraphFont"/>
    <w:link w:val="PlainText"/>
    <w:rsid w:val="00B10C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0C93"/>
    <w:rPr>
      <w:b/>
      <w:smallCaps/>
    </w:rPr>
  </w:style>
  <w:style w:type="paragraph" w:customStyle="1" w:styleId="TableListNumber">
    <w:name w:val="Table List Number"/>
    <w:basedOn w:val="ListNumber"/>
    <w:rsid w:val="00B10C93"/>
    <w:pPr>
      <w:numPr>
        <w:numId w:val="0"/>
      </w:numPr>
    </w:pPr>
  </w:style>
  <w:style w:type="paragraph" w:styleId="TOC4">
    <w:name w:val="toc 4"/>
    <w:basedOn w:val="TOCBase"/>
    <w:next w:val="Normal"/>
    <w:semiHidden/>
    <w:rsid w:val="00B10C93"/>
    <w:pPr>
      <w:tabs>
        <w:tab w:val="right" w:leader="dot" w:pos="9071"/>
      </w:tabs>
      <w:ind w:left="1701"/>
    </w:pPr>
  </w:style>
  <w:style w:type="paragraph" w:customStyle="1" w:styleId="ListAlpha">
    <w:name w:val="List Alpha"/>
    <w:basedOn w:val="List"/>
    <w:rsid w:val="00B10C93"/>
    <w:pPr>
      <w:numPr>
        <w:numId w:val="9"/>
      </w:numPr>
    </w:pPr>
  </w:style>
  <w:style w:type="paragraph" w:customStyle="1" w:styleId="ListAlpha2">
    <w:name w:val="List Alpha 2"/>
    <w:basedOn w:val="List2"/>
    <w:rsid w:val="00B10C93"/>
    <w:pPr>
      <w:numPr>
        <w:numId w:val="8"/>
      </w:numPr>
    </w:pPr>
  </w:style>
  <w:style w:type="paragraph" w:styleId="List3">
    <w:name w:val="List 3"/>
    <w:basedOn w:val="BodyText"/>
    <w:rsid w:val="00B10C93"/>
    <w:pPr>
      <w:tabs>
        <w:tab w:val="left" w:pos="1021"/>
      </w:tabs>
      <w:spacing w:before="60" w:after="60"/>
      <w:ind w:left="1020" w:hanging="340"/>
    </w:pPr>
  </w:style>
  <w:style w:type="paragraph" w:styleId="List4">
    <w:name w:val="List 4"/>
    <w:basedOn w:val="BodyText"/>
    <w:rsid w:val="00B10C93"/>
    <w:pPr>
      <w:tabs>
        <w:tab w:val="left" w:pos="1361"/>
      </w:tabs>
      <w:spacing w:before="60" w:after="60"/>
      <w:ind w:left="1361" w:hanging="340"/>
    </w:pPr>
  </w:style>
  <w:style w:type="paragraph" w:styleId="List5">
    <w:name w:val="List 5"/>
    <w:basedOn w:val="BodyText"/>
    <w:rsid w:val="00B10C93"/>
    <w:pPr>
      <w:tabs>
        <w:tab w:val="left" w:pos="1701"/>
      </w:tabs>
      <w:spacing w:before="60" w:after="60"/>
      <w:ind w:left="1701" w:hanging="340"/>
    </w:pPr>
  </w:style>
  <w:style w:type="paragraph" w:styleId="ListBullet3">
    <w:name w:val="List Bullet 3"/>
    <w:basedOn w:val="List3"/>
    <w:rsid w:val="00B10C93"/>
    <w:pPr>
      <w:numPr>
        <w:numId w:val="15"/>
      </w:numPr>
      <w:tabs>
        <w:tab w:val="clear" w:pos="1021"/>
      </w:tabs>
      <w:ind w:left="1037" w:hanging="357"/>
    </w:pPr>
  </w:style>
  <w:style w:type="paragraph" w:styleId="ListBullet4">
    <w:name w:val="List Bullet 4"/>
    <w:basedOn w:val="List4"/>
    <w:rsid w:val="00B10C93"/>
    <w:pPr>
      <w:numPr>
        <w:numId w:val="3"/>
      </w:numPr>
    </w:pPr>
  </w:style>
  <w:style w:type="paragraph" w:styleId="ListBullet5">
    <w:name w:val="List Bullet 5"/>
    <w:basedOn w:val="List5"/>
    <w:rsid w:val="00B10C93"/>
    <w:pPr>
      <w:numPr>
        <w:numId w:val="4"/>
      </w:numPr>
    </w:pPr>
  </w:style>
  <w:style w:type="paragraph" w:styleId="ListContinue2">
    <w:name w:val="List Continue 2"/>
    <w:basedOn w:val="List2"/>
    <w:rsid w:val="00B10C93"/>
    <w:pPr>
      <w:ind w:firstLine="0"/>
    </w:pPr>
  </w:style>
  <w:style w:type="paragraph" w:styleId="ListContinue3">
    <w:name w:val="List Continue 3"/>
    <w:basedOn w:val="List3"/>
    <w:rsid w:val="00B10C93"/>
    <w:pPr>
      <w:ind w:left="1021" w:firstLine="0"/>
    </w:pPr>
  </w:style>
  <w:style w:type="paragraph" w:styleId="ListContinue4">
    <w:name w:val="List Continue 4"/>
    <w:basedOn w:val="List4"/>
    <w:rsid w:val="00B10C93"/>
    <w:pPr>
      <w:ind w:firstLine="0"/>
    </w:pPr>
  </w:style>
  <w:style w:type="paragraph" w:styleId="ListContinue5">
    <w:name w:val="List Continue 5"/>
    <w:basedOn w:val="List5"/>
    <w:rsid w:val="00B10C93"/>
    <w:pPr>
      <w:ind w:firstLine="0"/>
    </w:pPr>
  </w:style>
  <w:style w:type="paragraph" w:styleId="ListNumber3">
    <w:name w:val="List Number 3"/>
    <w:basedOn w:val="List3"/>
    <w:rsid w:val="00B10C93"/>
    <w:pPr>
      <w:numPr>
        <w:numId w:val="5"/>
      </w:numPr>
    </w:pPr>
  </w:style>
  <w:style w:type="paragraph" w:styleId="ListNumber4">
    <w:name w:val="List Number 4"/>
    <w:basedOn w:val="List4"/>
    <w:rsid w:val="00B10C93"/>
    <w:pPr>
      <w:numPr>
        <w:numId w:val="6"/>
      </w:numPr>
    </w:pPr>
  </w:style>
  <w:style w:type="paragraph" w:styleId="ListNumber5">
    <w:name w:val="List Number 5"/>
    <w:basedOn w:val="List5"/>
    <w:rsid w:val="00B10C93"/>
    <w:pPr>
      <w:numPr>
        <w:numId w:val="7"/>
      </w:numPr>
    </w:pPr>
  </w:style>
  <w:style w:type="paragraph" w:styleId="BlockText">
    <w:name w:val="Block Text"/>
    <w:basedOn w:val="Normal"/>
    <w:rsid w:val="00B10C93"/>
    <w:pPr>
      <w:spacing w:after="120"/>
      <w:ind w:left="1440" w:right="1440"/>
    </w:pPr>
  </w:style>
  <w:style w:type="character" w:customStyle="1" w:styleId="Subscript">
    <w:name w:val="Subscript"/>
    <w:basedOn w:val="DefaultParagraphFont"/>
    <w:rsid w:val="00B10C93"/>
    <w:rPr>
      <w:sz w:val="16"/>
      <w:vertAlign w:val="subscript"/>
    </w:rPr>
  </w:style>
  <w:style w:type="character" w:customStyle="1" w:styleId="Superscript">
    <w:name w:val="Superscript"/>
    <w:basedOn w:val="DefaultParagraphFont"/>
    <w:rsid w:val="00B10C93"/>
    <w:rPr>
      <w:sz w:val="16"/>
      <w:vertAlign w:val="superscript"/>
    </w:rPr>
  </w:style>
  <w:style w:type="character" w:customStyle="1" w:styleId="Symbols">
    <w:name w:val="Symbols"/>
    <w:basedOn w:val="DefaultParagraphFont"/>
    <w:rsid w:val="00B10C93"/>
    <w:rPr>
      <w:rFonts w:ascii="Symbol" w:hAnsi="Symbol"/>
    </w:rPr>
  </w:style>
  <w:style w:type="character" w:customStyle="1" w:styleId="MenuOptions">
    <w:name w:val="Menu Options"/>
    <w:basedOn w:val="DefaultParagraphFont"/>
    <w:rsid w:val="00B10C93"/>
    <w:rPr>
      <w:rFonts w:ascii="Arial Narrow" w:hAnsi="Arial Narrow"/>
      <w:smallCaps/>
    </w:rPr>
  </w:style>
  <w:style w:type="character" w:customStyle="1" w:styleId="Buttons">
    <w:name w:val="Buttons"/>
    <w:basedOn w:val="DefaultParagraphFont"/>
    <w:rsid w:val="00B10C93"/>
    <w:rPr>
      <w:b/>
    </w:rPr>
  </w:style>
  <w:style w:type="character" w:customStyle="1" w:styleId="Underlined">
    <w:name w:val="Underlined"/>
    <w:basedOn w:val="DefaultParagraphFont"/>
    <w:rsid w:val="00B10C93"/>
    <w:rPr>
      <w:u w:val="single"/>
    </w:rPr>
  </w:style>
  <w:style w:type="paragraph" w:customStyle="1" w:styleId="TableBodyTextRight">
    <w:name w:val="Table Body Text Right"/>
    <w:basedOn w:val="TableBodyText"/>
    <w:rsid w:val="00B10C93"/>
    <w:pPr>
      <w:widowControl w:val="0"/>
      <w:autoSpaceDE w:val="0"/>
      <w:autoSpaceDN w:val="0"/>
      <w:adjustRightInd w:val="0"/>
      <w:jc w:val="right"/>
    </w:pPr>
    <w:rPr>
      <w:rFonts w:cs="Arial"/>
      <w:szCs w:val="18"/>
    </w:rPr>
  </w:style>
  <w:style w:type="paragraph" w:customStyle="1" w:styleId="CopyrightText">
    <w:name w:val="Copyright Text"/>
    <w:basedOn w:val="BodyText"/>
    <w:rsid w:val="00B10C93"/>
    <w:rPr>
      <w:sz w:val="18"/>
    </w:rPr>
  </w:style>
  <w:style w:type="paragraph" w:customStyle="1" w:styleId="BodySmallRight">
    <w:name w:val="Body Small Right"/>
    <w:basedOn w:val="BodyTextRight"/>
    <w:rsid w:val="00B10C93"/>
    <w:rPr>
      <w:sz w:val="18"/>
      <w:szCs w:val="18"/>
    </w:rPr>
  </w:style>
  <w:style w:type="paragraph" w:customStyle="1" w:styleId="MarginEdition">
    <w:name w:val="Margin Edition"/>
    <w:basedOn w:val="MarginNote"/>
    <w:rsid w:val="00B10C93"/>
    <w:pPr>
      <w:spacing w:before="0" w:after="0"/>
    </w:pPr>
    <w:rPr>
      <w:rFonts w:ascii="Times New Roman" w:hAnsi="Times New Roman"/>
      <w:color w:val="999999"/>
    </w:rPr>
  </w:style>
  <w:style w:type="paragraph" w:customStyle="1" w:styleId="Spacer">
    <w:name w:val="Spacer"/>
    <w:basedOn w:val="Normal"/>
    <w:rsid w:val="00B10C93"/>
    <w:rPr>
      <w:sz w:val="2"/>
      <w:szCs w:val="2"/>
    </w:rPr>
  </w:style>
  <w:style w:type="character" w:customStyle="1" w:styleId="Small">
    <w:name w:val="Small"/>
    <w:basedOn w:val="DefaultParagraphFont"/>
    <w:rsid w:val="00B10C93"/>
    <w:rPr>
      <w:sz w:val="16"/>
    </w:rPr>
  </w:style>
  <w:style w:type="paragraph" w:customStyle="1" w:styleId="WideTable">
    <w:name w:val="Wide Table"/>
    <w:basedOn w:val="Normal"/>
    <w:rsid w:val="00B10C93"/>
    <w:pPr>
      <w:ind w:left="-1418"/>
    </w:pPr>
    <w:rPr>
      <w:sz w:val="2"/>
      <w:szCs w:val="2"/>
    </w:rPr>
  </w:style>
  <w:style w:type="character" w:styleId="PageNumber">
    <w:name w:val="page number"/>
    <w:basedOn w:val="DefaultParagraphFont"/>
    <w:rsid w:val="00B10C93"/>
  </w:style>
  <w:style w:type="paragraph" w:styleId="Quote">
    <w:name w:val="Quote"/>
    <w:basedOn w:val="Heading1"/>
    <w:link w:val="QuoteChar"/>
    <w:qFormat/>
    <w:rsid w:val="00B10C93"/>
    <w:rPr>
      <w:b w:val="0"/>
      <w:sz w:val="72"/>
      <w:szCs w:val="72"/>
      <w:lang w:val="en-NZ"/>
    </w:rPr>
  </w:style>
  <w:style w:type="character" w:customStyle="1" w:styleId="QuoteChar">
    <w:name w:val="Quote Char"/>
    <w:basedOn w:val="DefaultParagraphFont"/>
    <w:link w:val="Quote"/>
    <w:rsid w:val="00B10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C93"/>
    <w:pPr>
      <w:pageBreakBefore/>
    </w:pPr>
  </w:style>
  <w:style w:type="paragraph" w:customStyle="1" w:styleId="Border">
    <w:name w:val="Border"/>
    <w:basedOn w:val="Normal"/>
    <w:qFormat/>
    <w:rsid w:val="00B10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C93"/>
    <w:rPr>
      <w:b/>
      <w:bCs/>
      <w:i/>
      <w:iCs/>
      <w:color w:val="auto"/>
    </w:rPr>
  </w:style>
  <w:style w:type="paragraph" w:styleId="IntenseQuote">
    <w:name w:val="Intense Quote"/>
    <w:basedOn w:val="Normal"/>
    <w:next w:val="Normal"/>
    <w:link w:val="IntenseQuoteChar"/>
    <w:uiPriority w:val="30"/>
    <w:qFormat/>
    <w:rsid w:val="00B10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C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0C93"/>
    <w:rPr>
      <w:smallCaps/>
      <w:color w:val="auto"/>
      <w:u w:val="single"/>
    </w:rPr>
  </w:style>
  <w:style w:type="character" w:styleId="IntenseReference">
    <w:name w:val="Intense Reference"/>
    <w:basedOn w:val="DefaultParagraphFont"/>
    <w:uiPriority w:val="32"/>
    <w:qFormat/>
    <w:rsid w:val="00B10C93"/>
    <w:rPr>
      <w:b/>
      <w:bCs/>
      <w:smallCaps/>
      <w:color w:val="auto"/>
      <w:spacing w:val="5"/>
      <w:u w:val="single"/>
    </w:rPr>
  </w:style>
  <w:style w:type="paragraph" w:customStyle="1" w:styleId="2ColumnHeading">
    <w:name w:val="2Column Heading"/>
    <w:basedOn w:val="BodyText"/>
    <w:qFormat/>
    <w:rsid w:val="00B10C93"/>
    <w:pPr>
      <w:spacing w:after="60"/>
      <w:ind w:left="-2268"/>
    </w:pPr>
    <w:rPr>
      <w:b/>
    </w:rPr>
  </w:style>
  <w:style w:type="paragraph" w:customStyle="1" w:styleId="Heading1TOC">
    <w:name w:val="Heading1 TOC"/>
    <w:basedOn w:val="Normal"/>
    <w:qFormat/>
    <w:rsid w:val="00B10C93"/>
    <w:pPr>
      <w:spacing w:before="240" w:after="120"/>
    </w:pPr>
    <w:rPr>
      <w:rFonts w:ascii="Times New Roman" w:hAnsi="Times New Roman"/>
      <w:b/>
      <w:sz w:val="32"/>
    </w:rPr>
  </w:style>
  <w:style w:type="paragraph" w:customStyle="1" w:styleId="Heading2TOC">
    <w:name w:val="Heading2 TOC"/>
    <w:basedOn w:val="Normal"/>
    <w:qFormat/>
    <w:rsid w:val="00B10C93"/>
    <w:pPr>
      <w:spacing w:before="240" w:after="60"/>
    </w:pPr>
    <w:rPr>
      <w:rFonts w:ascii="Times New Roman" w:hAnsi="Times New Roman"/>
      <w:b/>
      <w:sz w:val="28"/>
    </w:rPr>
  </w:style>
  <w:style w:type="character" w:customStyle="1" w:styleId="Underline">
    <w:name w:val="Underline"/>
    <w:basedOn w:val="DefaultParagraphFont"/>
    <w:qFormat/>
    <w:rsid w:val="00B10C93"/>
    <w:rPr>
      <w:u w:val="single"/>
    </w:rPr>
  </w:style>
  <w:style w:type="character" w:customStyle="1" w:styleId="BoldandItalics">
    <w:name w:val="Bold and Italics"/>
    <w:qFormat/>
    <w:rsid w:val="00B10C93"/>
    <w:rPr>
      <w:b/>
      <w:i/>
      <w:u w:val="none"/>
    </w:rPr>
  </w:style>
  <w:style w:type="paragraph" w:styleId="BalloonText">
    <w:name w:val="Balloon Text"/>
    <w:basedOn w:val="Normal"/>
    <w:link w:val="BalloonTextChar"/>
    <w:rsid w:val="00B10C93"/>
    <w:rPr>
      <w:rFonts w:ascii="Tahoma" w:hAnsi="Tahoma" w:cs="Tahoma"/>
      <w:sz w:val="16"/>
      <w:szCs w:val="16"/>
    </w:rPr>
  </w:style>
  <w:style w:type="character" w:customStyle="1" w:styleId="BalloonTextChar">
    <w:name w:val="Balloon Text Char"/>
    <w:basedOn w:val="DefaultParagraphFont"/>
    <w:link w:val="BalloonText"/>
    <w:rsid w:val="00B10C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C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C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1086</Words>
  <Characters>6767</Characters>
  <Application>Microsoft Office Word</Application>
  <DocSecurity>0</DocSecurity>
  <Lines>255</Lines>
  <Paragraphs>129</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PMC552043C Operate float forming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