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3714" w:rsidP="00DE3714">
      <w:pPr>
        <w:pStyle w:val="Title"/>
      </w:pPr>
      <w:r>
        <w:fldChar w:fldCharType="begin"/>
      </w:r>
      <w:r>
        <w:instrText xml:space="preserve"> TITLE   \* MERGEFORMAT </w:instrText>
      </w:r>
      <w:r>
        <w:fldChar w:fldCharType="separate"/>
      </w:r>
      <w:r>
        <w:t>PMC552041C Operate process ovens</w:t>
      </w:r>
      <w:r>
        <w:fldChar w:fldCharType="end"/>
      </w:r>
    </w:p>
    <w:p w:rsidR="00DE3714" w:rsidP="00DE3714">
      <w:pPr>
        <w:pStyle w:val="Version"/>
        <w:sectPr w:rsidSect="00D65A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65A86" w:rsidP="00D65A86">
      <w:pPr>
        <w:pStyle w:val="SuperHeading"/>
      </w:pPr>
      <w:r w:rsidRPr="00D65A86">
        <w:t>PMC552041C Operate process ovens</w:t>
      </w:r>
    </w:p>
    <w:p w:rsidR="00000000" w:rsidRPr="00D65A86" w:rsidP="00D65A86">
      <w:pPr>
        <w:pStyle w:val="SuperHeading"/>
      </w:pPr>
    </w:p>
    <w:p w:rsidR="00000000" w:rsidRPr="00D65A86" w:rsidP="00D65A86">
      <w:pPr>
        <w:pStyle w:val="Heading1"/>
      </w:pPr>
      <w:bookmarkStart w:id="1" w:name="O_110163"/>
      <w:bookmarkEnd w:id="1"/>
      <w:r w:rsidRPr="00D65A86">
        <w:t>Modification History</w:t>
      </w:r>
    </w:p>
    <w:p w:rsidR="00000000" w:rsidRPr="00D65A86" w:rsidP="00D65A86">
      <w:pPr>
        <w:pStyle w:val="BodyText"/>
      </w:pPr>
      <w:r w:rsidRPr="00D65A86">
        <w:t>Not applicable.</w:t>
      </w:r>
    </w:p>
    <w:p w:rsidR="00000000" w:rsidRPr="00D65A86" w:rsidP="00D65A86">
      <w:pPr>
        <w:pStyle w:val="AllowPageBreak"/>
      </w:pPr>
    </w:p>
    <w:p w:rsidR="00000000" w:rsidRPr="00D65A86" w:rsidP="00D65A86">
      <w:pPr>
        <w:pStyle w:val="Heading1"/>
      </w:pPr>
      <w:bookmarkStart w:id="2" w:name="O_110164"/>
      <w:bookmarkEnd w:id="2"/>
      <w:r w:rsidRPr="00D65A86">
        <w:t>Unit Descriptor</w:t>
      </w:r>
    </w:p>
    <w:tbl>
      <w:tblPr>
        <w:tblW w:w="0" w:type="auto"/>
        <w:tblLayout w:type="fixed"/>
        <w:tblCellMar>
          <w:left w:w="62" w:type="dxa"/>
          <w:right w:w="62" w:type="dxa"/>
        </w:tblCellMar>
        <w:tblLook w:val="0000"/>
      </w:tblPr>
      <w:tblGrid>
        <w:gridCol w:w="2670"/>
        <w:gridCol w:w="5852"/>
      </w:tblGrid>
      <w:tr w:rsidTr="00DE3714">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A86">
            <w:pPr>
              <w:pStyle w:val="BodyText"/>
              <w:rPr>
                <w:lang w:val="en-NZ"/>
              </w:rPr>
            </w:pPr>
            <w:r w:rsidRPr="00D65A86">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A86" w:rsidP="00D65A86">
            <w:pPr>
              <w:pStyle w:val="BodyText"/>
            </w:pPr>
            <w:r w:rsidRPr="00D65A86">
              <w:t>This unit of competency covers the operation of furnaces used in annealing, conditioning, laminating, mirroring, tou</w:t>
            </w:r>
            <w:r w:rsidRPr="00D65A86">
              <w:t>ghening and glass reheating. It involves preparing equipment for production, operating and monitoring equipment operation and rectifying routine problems.</w:t>
            </w:r>
          </w:p>
        </w:tc>
      </w:tr>
    </w:tbl>
    <w:p w:rsidR="00000000" w:rsidRPr="00D65A86" w:rsidP="00D65A86">
      <w:pPr>
        <w:pStyle w:val="BodyText"/>
      </w:pPr>
    </w:p>
    <w:p w:rsidR="00000000" w:rsidRPr="00D65A86" w:rsidP="00D65A86">
      <w:pPr>
        <w:pStyle w:val="AllowPageBreak"/>
      </w:pPr>
    </w:p>
    <w:p w:rsidR="00000000" w:rsidRPr="00D65A86" w:rsidP="00D65A86">
      <w:pPr>
        <w:pStyle w:val="Heading1"/>
      </w:pPr>
      <w:bookmarkStart w:id="3" w:name="O_110165"/>
      <w:bookmarkEnd w:id="3"/>
      <w:r w:rsidRPr="00D65A86">
        <w:t>Application of the Unit</w:t>
      </w:r>
    </w:p>
    <w:tbl>
      <w:tblPr>
        <w:tblW w:w="0" w:type="auto"/>
        <w:tblLayout w:type="fixed"/>
        <w:tblCellMar>
          <w:left w:w="62" w:type="dxa"/>
          <w:right w:w="62" w:type="dxa"/>
        </w:tblCellMar>
        <w:tblLook w:val="0000"/>
      </w:tblPr>
      <w:tblGrid>
        <w:gridCol w:w="2745"/>
        <w:gridCol w:w="5777"/>
      </w:tblGrid>
      <w:tr w:rsidTr="00DE3714">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A86">
            <w:pPr>
              <w:pStyle w:val="BodyText"/>
              <w:rPr>
                <w:lang w:val="en-NZ"/>
              </w:rPr>
            </w:pPr>
            <w:r w:rsidRPr="00D65A86">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A86" w:rsidP="00D65A86">
            <w:pPr>
              <w:pStyle w:val="BodyText"/>
            </w:pPr>
            <w:r w:rsidRPr="00D65A86">
              <w:t xml:space="preserve">This unit of competency applies to operators who are responsible for operating process ovens. </w:t>
            </w:r>
          </w:p>
          <w:p w:rsidR="00000000" w:rsidRPr="00D65A86" w:rsidP="00D65A86">
            <w:pPr>
              <w:pStyle w:val="BodyText"/>
            </w:pPr>
            <w:r w:rsidRPr="00D65A86">
              <w:t xml:space="preserve">This unit does NOT apply to the operation of furnaces used for primary glass production and forming of glass products directly from the melting furnace which is </w:t>
            </w:r>
            <w:r w:rsidRPr="00D65A86">
              <w:t xml:space="preserve">covered by </w:t>
            </w:r>
            <w:r w:rsidRPr="00D65A86">
              <w:rPr>
                <w:rStyle w:val="Emphasis"/>
              </w:rPr>
              <w:t>PMC552040C Operate glass melting process</w:t>
            </w:r>
            <w:r w:rsidRPr="00D65A86">
              <w:t>.</w:t>
            </w:r>
          </w:p>
          <w:p w:rsidR="00000000" w:rsidRPr="00D65A86" w:rsidP="00D65A86">
            <w:pPr>
              <w:pStyle w:val="BodyText"/>
            </w:pPr>
            <w:r w:rsidRPr="00D65A86">
              <w:t>This competency includes the operation of all ancillary equipment.</w:t>
            </w:r>
          </w:p>
          <w:p w:rsidR="00000000" w:rsidRPr="00D65A86" w:rsidP="00D65A86">
            <w:pPr>
              <w:pStyle w:val="BodyText"/>
            </w:pPr>
            <w:r w:rsidRPr="00D65A86">
              <w:t>It does NOT include processes involved with:</w:t>
            </w:r>
          </w:p>
          <w:p w:rsidR="00000000" w:rsidRPr="00D65A86" w:rsidP="00D65A86">
            <w:pPr>
              <w:pStyle w:val="ListBullet"/>
            </w:pPr>
            <w:r w:rsidRPr="00D65A86">
              <w:t>melting furnaces used in glass production</w:t>
            </w:r>
          </w:p>
          <w:p w:rsidR="00000000" w:rsidRPr="00D65A86" w:rsidP="00D65A86">
            <w:pPr>
              <w:pStyle w:val="ListBullet"/>
            </w:pPr>
            <w:r w:rsidRPr="00D65A86">
              <w:t>forming of glass products directly from a melting furnace.</w:t>
            </w:r>
          </w:p>
          <w:p w:rsidR="00000000" w:rsidRPr="00D65A86" w:rsidP="00D65A86">
            <w:pPr>
              <w:pStyle w:val="BodyText"/>
            </w:pPr>
            <w:r w:rsidRPr="00D65A86">
              <w:t>This competency is typically performed by operators working either independently or as part of a work team. At all times they would be liaising with other members of the team.</w:t>
            </w:r>
          </w:p>
        </w:tc>
      </w:tr>
    </w:tbl>
    <w:p w:rsidR="00000000" w:rsidRPr="00D65A86" w:rsidP="00D65A86">
      <w:pPr>
        <w:pStyle w:val="BodyText"/>
      </w:pPr>
    </w:p>
    <w:p w:rsidR="00000000" w:rsidRPr="00D65A86" w:rsidP="00D65A86">
      <w:pPr>
        <w:pStyle w:val="AllowPageBreak"/>
      </w:pPr>
    </w:p>
    <w:p w:rsidR="00000000" w:rsidRPr="00D65A86" w:rsidP="00D65A86">
      <w:pPr>
        <w:pStyle w:val="Heading1"/>
      </w:pPr>
      <w:bookmarkStart w:id="4" w:name="O_110166"/>
      <w:bookmarkEnd w:id="4"/>
      <w:r w:rsidRPr="00D65A86">
        <w:t>Licensing/Regulatory Information</w:t>
      </w:r>
    </w:p>
    <w:p w:rsidR="00000000" w:rsidRPr="00D65A86" w:rsidP="00D65A86">
      <w:pPr>
        <w:pStyle w:val="BodyText"/>
      </w:pPr>
      <w:r w:rsidRPr="00D65A86">
        <w:t>Not applicable.</w:t>
      </w:r>
    </w:p>
    <w:p w:rsidR="00000000" w:rsidRPr="00D65A86" w:rsidP="00D65A86">
      <w:pPr>
        <w:pStyle w:val="AllowPageBreak"/>
      </w:pPr>
    </w:p>
    <w:p w:rsidR="00000000" w:rsidRPr="00D65A86" w:rsidP="00D65A86">
      <w:pPr>
        <w:pStyle w:val="Heading1"/>
      </w:pPr>
      <w:bookmarkStart w:id="5" w:name="O_110168"/>
      <w:bookmarkEnd w:id="5"/>
      <w:r w:rsidRPr="00D65A86">
        <w:t>Pre-Requisites</w:t>
      </w:r>
    </w:p>
    <w:tbl>
      <w:tblPr>
        <w:tblW w:w="0" w:type="auto"/>
        <w:tblLayout w:type="fixed"/>
        <w:tblCellMar>
          <w:left w:w="62" w:type="dxa"/>
          <w:right w:w="62" w:type="dxa"/>
        </w:tblCellMar>
        <w:tblLook w:val="0000"/>
      </w:tblPr>
      <w:tblGrid>
        <w:gridCol w:w="2775"/>
        <w:gridCol w:w="1295"/>
        <w:gridCol w:w="4452"/>
      </w:tblGrid>
      <w:tr w:rsidTr="00DE371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A86">
            <w:pPr>
              <w:pStyle w:val="BodyText"/>
              <w:rPr>
                <w:lang w:val="en-NZ"/>
              </w:rPr>
            </w:pPr>
            <w:r w:rsidRPr="00D65A8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A86">
            <w:pPr>
              <w:pStyle w:val="BodyText"/>
              <w:rPr>
                <w:lang w:val="en-NZ"/>
              </w:rPr>
            </w:pPr>
          </w:p>
        </w:tc>
      </w:tr>
      <w:tr w:rsidTr="00DE371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A86">
            <w:pPr>
              <w:pStyle w:val="BodyText"/>
              <w:rPr>
                <w:lang w:val="en-NZ"/>
              </w:rPr>
            </w:pPr>
          </w:p>
        </w:tc>
      </w:tr>
      <w:tr w:rsidTr="00DE371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A86" w:rsidP="00D65A86">
            <w:pPr>
              <w:pStyle w:val="BodyText"/>
            </w:pPr>
          </w:p>
        </w:tc>
      </w:tr>
    </w:tbl>
    <w:p w:rsidR="00000000" w:rsidRPr="00D65A86" w:rsidP="00D65A86">
      <w:pPr>
        <w:pStyle w:val="BodyText"/>
      </w:pPr>
    </w:p>
    <w:p w:rsidR="00000000" w:rsidRPr="00D65A86" w:rsidP="00D65A86">
      <w:pPr>
        <w:pStyle w:val="AllowPageBreak"/>
      </w:pPr>
    </w:p>
    <w:p w:rsidR="00000000" w:rsidRPr="00D65A86" w:rsidP="00D65A86">
      <w:pPr>
        <w:pStyle w:val="Heading1"/>
      </w:pPr>
      <w:bookmarkStart w:id="6" w:name="O_110167"/>
      <w:bookmarkEnd w:id="6"/>
      <w:r w:rsidRPr="00D65A86">
        <w:t>Employability Skills Information</w:t>
      </w:r>
    </w:p>
    <w:tbl>
      <w:tblPr>
        <w:tblW w:w="0" w:type="auto"/>
        <w:tblLayout w:type="fixed"/>
        <w:tblCellMar>
          <w:left w:w="62" w:type="dxa"/>
          <w:right w:w="62" w:type="dxa"/>
        </w:tblCellMar>
        <w:tblLook w:val="0000"/>
      </w:tblPr>
      <w:tblGrid>
        <w:gridCol w:w="2802"/>
        <w:gridCol w:w="5720"/>
      </w:tblGrid>
      <w:tr w:rsidTr="00DE371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A86">
            <w:pPr>
              <w:pStyle w:val="BodyText"/>
              <w:rPr>
                <w:lang w:val="en-NZ"/>
              </w:rPr>
            </w:pPr>
            <w:r w:rsidRPr="00D65A8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A86" w:rsidP="00D65A86">
            <w:pPr>
              <w:pStyle w:val="BodyText"/>
            </w:pPr>
            <w:r w:rsidRPr="00D65A86">
              <w:t>This unit contains employability skills.</w:t>
            </w:r>
          </w:p>
        </w:tc>
      </w:tr>
    </w:tbl>
    <w:p w:rsidR="00000000" w:rsidRPr="00D65A86" w:rsidP="00D65A86">
      <w:pPr>
        <w:pStyle w:val="BodyText"/>
      </w:pPr>
    </w:p>
    <w:p w:rsidR="00000000" w:rsidRPr="00D65A86" w:rsidP="00D65A86">
      <w:pPr>
        <w:pStyle w:val="AllowPageBreak"/>
      </w:pPr>
    </w:p>
    <w:p w:rsidR="00000000" w:rsidRPr="00D65A86" w:rsidP="00D65A86">
      <w:pPr>
        <w:pStyle w:val="Heading1"/>
      </w:pPr>
      <w:bookmarkStart w:id="7" w:name="O_110169"/>
      <w:bookmarkEnd w:id="7"/>
      <w:r w:rsidRPr="00D65A86">
        <w:t>Elements and Performance Criteria Pre-Content</w:t>
      </w:r>
    </w:p>
    <w:tbl>
      <w:tblPr>
        <w:tblW w:w="0" w:type="auto"/>
        <w:tblLayout w:type="fixed"/>
        <w:tblCellMar>
          <w:left w:w="62" w:type="dxa"/>
          <w:right w:w="62" w:type="dxa"/>
        </w:tblCellMar>
        <w:tblLook w:val="0000"/>
      </w:tblPr>
      <w:tblGrid>
        <w:gridCol w:w="2861"/>
        <w:gridCol w:w="5661"/>
      </w:tblGrid>
      <w:tr w:rsidTr="00DE3714">
        <w:tblPrEx>
          <w:tblW w:w="0" w:type="auto"/>
          <w:tblLayout w:type="fixed"/>
          <w:tblCellMar>
            <w:left w:w="62" w:type="dxa"/>
            <w:right w:w="62" w:type="dxa"/>
          </w:tblCellMar>
          <w:tblLook w:val="0000"/>
        </w:tblPrEx>
        <w:tc>
          <w:tcPr>
            <w:tcW w:w="2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A86">
            <w:pPr>
              <w:pStyle w:val="BodyText"/>
              <w:rPr>
                <w:lang w:val="en-NZ"/>
              </w:rPr>
            </w:pPr>
            <w:r w:rsidRPr="00D65A86">
              <w:t>Elements describe the essential outcomes of a unit of competency.</w:t>
            </w:r>
          </w:p>
        </w:tc>
        <w:tc>
          <w:tcPr>
            <w:tcW w:w="5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A86" w:rsidP="00D65A86">
            <w:pPr>
              <w:pStyle w:val="BodyText"/>
            </w:pPr>
            <w:r w:rsidRPr="00D65A86">
              <w:t>Performance criteria describe the performance needed to demonstrate achievement of the element. Where bold italicised text is used, further info</w:t>
            </w:r>
            <w:r w:rsidRPr="00D65A86">
              <w:t>rmation is detailed in the required skills and knowledge section and the range statement. Assessment of performance is to be consistent with the evidence guide.</w:t>
            </w:r>
          </w:p>
        </w:tc>
      </w:tr>
    </w:tbl>
    <w:p w:rsidR="00000000" w:rsidRPr="00D65A86" w:rsidP="00D65A86">
      <w:pPr>
        <w:pStyle w:val="BodyText"/>
      </w:pPr>
    </w:p>
    <w:p w:rsidR="00000000" w:rsidRPr="00D65A86" w:rsidP="00D65A86">
      <w:pPr>
        <w:pStyle w:val="AllowPageBreak"/>
      </w:pPr>
    </w:p>
    <w:p w:rsidR="00000000" w:rsidRPr="00D65A86" w:rsidP="00D65A86">
      <w:pPr>
        <w:pStyle w:val="Heading1"/>
      </w:pPr>
      <w:bookmarkStart w:id="8" w:name="O_110170"/>
      <w:bookmarkEnd w:id="8"/>
      <w:r w:rsidRPr="00D65A86">
        <w:t>Elements and Performance Criteria</w:t>
      </w:r>
    </w:p>
    <w:tbl>
      <w:tblPr>
        <w:tblW w:w="0" w:type="auto"/>
        <w:tblLayout w:type="fixed"/>
        <w:tblCellMar>
          <w:left w:w="62" w:type="dxa"/>
          <w:right w:w="62" w:type="dxa"/>
        </w:tblCellMar>
        <w:tblLook w:val="0000"/>
      </w:tblPr>
      <w:tblGrid>
        <w:gridCol w:w="2861"/>
        <w:gridCol w:w="5661"/>
      </w:tblGrid>
      <w:tr w:rsidTr="00DE3714">
        <w:tblPrEx>
          <w:tblW w:w="0" w:type="auto"/>
          <w:tblLayout w:type="fixed"/>
          <w:tblCellMar>
            <w:left w:w="62" w:type="dxa"/>
            <w:right w:w="62" w:type="dxa"/>
          </w:tblCellMar>
          <w:tblLook w:val="0000"/>
        </w:tblPrEx>
        <w:trPr>
          <w:tblHeader/>
        </w:trPr>
        <w:tc>
          <w:tcPr>
            <w:tcW w:w="2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A86" w:rsidP="00D65A86">
            <w:pPr>
              <w:pStyle w:val="BodyText"/>
            </w:pPr>
            <w:r w:rsidRPr="00D65A86">
              <w:rPr>
                <w:rStyle w:val="SpecialBold"/>
              </w:rPr>
              <w:t>ELEMENT</w:t>
            </w:r>
          </w:p>
        </w:tc>
        <w:tc>
          <w:tcPr>
            <w:tcW w:w="5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A86">
            <w:pPr>
              <w:pStyle w:val="BodyText"/>
              <w:rPr>
                <w:lang w:val="en-NZ"/>
              </w:rPr>
            </w:pPr>
            <w:r w:rsidRPr="00D65A86">
              <w:rPr>
                <w:rStyle w:val="SpecialBold"/>
              </w:rPr>
              <w:t>PERFORMANCE CRITERIA</w:t>
            </w:r>
          </w:p>
        </w:tc>
      </w:tr>
      <w:tr w:rsidTr="00DE3714">
        <w:tblPrEx>
          <w:tblW w:w="0" w:type="auto"/>
          <w:tblLayout w:type="fixed"/>
          <w:tblCellMar>
            <w:left w:w="62" w:type="dxa"/>
            <w:right w:w="62" w:type="dxa"/>
          </w:tblCellMar>
          <w:tblLook w:val="0000"/>
        </w:tblPrEx>
        <w:tc>
          <w:tcPr>
            <w:tcW w:w="2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A86">
            <w:pPr>
              <w:pStyle w:val="List"/>
              <w:rPr>
                <w:lang w:val="en-NZ"/>
              </w:rPr>
            </w:pPr>
            <w:r w:rsidRPr="00D65A86">
              <w:t>1.</w:t>
            </w:r>
            <w:r w:rsidRPr="00D65A86">
              <w:tab/>
            </w:r>
            <w:r w:rsidRPr="00D65A86">
              <w:t>Prepare the annealing/ toughening/reheating/ laminating equipment</w:t>
            </w:r>
          </w:p>
        </w:tc>
        <w:tc>
          <w:tcPr>
            <w:tcW w:w="5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A86" w:rsidP="00D65A86">
            <w:pPr>
              <w:pStyle w:val="List2"/>
            </w:pPr>
            <w:r w:rsidRPr="00D65A86">
              <w:t>1.1.</w:t>
            </w:r>
            <w:r w:rsidRPr="00D65A86">
              <w:tab/>
              <w:t>Interpret job specifications</w:t>
            </w:r>
          </w:p>
          <w:p w:rsidR="00000000" w:rsidRPr="00D65A86" w:rsidP="00D65A86">
            <w:pPr>
              <w:pStyle w:val="List2"/>
            </w:pPr>
            <w:r w:rsidRPr="00D65A86">
              <w:t>1.2.</w:t>
            </w:r>
            <w:r w:rsidRPr="00D65A86">
              <w:tab/>
              <w:t xml:space="preserve">Isolate appropriate line/equipment </w:t>
            </w:r>
          </w:p>
          <w:p w:rsidR="00000000" w:rsidRPr="00D65A86" w:rsidP="00D65A86">
            <w:pPr>
              <w:pStyle w:val="List2"/>
            </w:pPr>
            <w:r w:rsidRPr="00D65A86">
              <w:t>1.3.</w:t>
            </w:r>
            <w:r w:rsidRPr="00D65A86">
              <w:tab/>
              <w:t>Undertake basic setup and removal of current moulds in accordance with manufacturer's and work instructions if</w:t>
            </w:r>
            <w:r w:rsidRPr="00D65A86">
              <w:t xml:space="preserve"> required</w:t>
            </w:r>
          </w:p>
          <w:p w:rsidR="00000000" w:rsidRPr="00D65A86" w:rsidP="00D65A86">
            <w:pPr>
              <w:pStyle w:val="List2"/>
            </w:pPr>
            <w:r w:rsidRPr="00D65A86">
              <w:t>1.4.</w:t>
            </w:r>
            <w:r w:rsidRPr="00D65A86">
              <w:tab/>
              <w:t>Check that the quality and quantity of input glass is suitable for production run as per company requirements</w:t>
            </w:r>
          </w:p>
          <w:p w:rsidR="00000000" w:rsidRPr="00D65A86" w:rsidP="00D65A86">
            <w:pPr>
              <w:pStyle w:val="List2"/>
            </w:pPr>
            <w:r w:rsidRPr="00D65A86">
              <w:t>1.5.</w:t>
            </w:r>
            <w:r w:rsidRPr="00D65A86">
              <w:tab/>
              <w:t>Undertake equipment preparation and checks according to established procedures</w:t>
            </w:r>
          </w:p>
          <w:p w:rsidR="00000000" w:rsidRPr="00D65A86" w:rsidP="00D65A86">
            <w:pPr>
              <w:pStyle w:val="List2"/>
            </w:pPr>
            <w:r w:rsidRPr="00D65A86">
              <w:t>1.6.</w:t>
            </w:r>
            <w:r w:rsidRPr="00D65A86">
              <w:tab/>
            </w:r>
            <w:r w:rsidRPr="00D65A86">
              <w:t>Make machinery/equipment adjustments and final preparations to ensure that work instructions are met</w:t>
            </w:r>
          </w:p>
          <w:p w:rsidR="00000000" w:rsidP="00D65A86">
            <w:pPr>
              <w:pStyle w:val="List2"/>
              <w:rPr>
                <w:lang w:val="en-NZ"/>
              </w:rPr>
            </w:pPr>
            <w:r w:rsidRPr="00D65A86">
              <w:t>1.7.</w:t>
            </w:r>
            <w:r w:rsidRPr="00D65A86">
              <w:tab/>
              <w:t>Conduct product run/procedure to produce samples to confirm that quality meets specifications, if required</w:t>
            </w:r>
          </w:p>
        </w:tc>
      </w:tr>
      <w:tr w:rsidTr="00DE3714">
        <w:tblPrEx>
          <w:tblW w:w="0" w:type="auto"/>
          <w:tblLayout w:type="fixed"/>
          <w:tblCellMar>
            <w:left w:w="62" w:type="dxa"/>
            <w:right w:w="62" w:type="dxa"/>
          </w:tblCellMar>
          <w:tblLook w:val="0000"/>
        </w:tblPrEx>
        <w:tc>
          <w:tcPr>
            <w:tcW w:w="2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A86">
            <w:pPr>
              <w:pStyle w:val="List"/>
              <w:rPr>
                <w:lang w:val="en-NZ"/>
              </w:rPr>
            </w:pPr>
            <w:r w:rsidRPr="00D65A86">
              <w:t>2.</w:t>
            </w:r>
            <w:r w:rsidRPr="00D65A86">
              <w:tab/>
              <w:t>Anneal/toughen/reheat/ laminate the pro</w:t>
            </w:r>
            <w:r w:rsidRPr="00D65A86">
              <w:t>ducts</w:t>
            </w:r>
          </w:p>
        </w:tc>
        <w:tc>
          <w:tcPr>
            <w:tcW w:w="5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A86" w:rsidP="00D65A86">
            <w:pPr>
              <w:pStyle w:val="List2"/>
            </w:pPr>
            <w:r w:rsidRPr="00D65A86">
              <w:t>2.1.</w:t>
            </w:r>
            <w:r w:rsidRPr="00D65A86">
              <w:tab/>
              <w:t>Monitor equipment to ensure quality specifications are met</w:t>
            </w:r>
          </w:p>
          <w:p w:rsidR="00000000" w:rsidRPr="00D65A86" w:rsidP="00D65A86">
            <w:pPr>
              <w:pStyle w:val="List2"/>
            </w:pPr>
            <w:r w:rsidRPr="00D65A86">
              <w:t>2.2.</w:t>
            </w:r>
            <w:r w:rsidRPr="00D65A86">
              <w:tab/>
              <w:t>Identify routine variations to annealing/reheating process</w:t>
            </w:r>
          </w:p>
          <w:p w:rsidR="00000000" w:rsidRPr="00D65A86" w:rsidP="00D65A86">
            <w:pPr>
              <w:pStyle w:val="List2"/>
            </w:pPr>
            <w:r w:rsidRPr="00D65A86">
              <w:t>2.3.</w:t>
            </w:r>
            <w:r w:rsidRPr="00D65A86">
              <w:tab/>
              <w:t>Make routine operation adjustments according to established procedures to maintain product quality</w:t>
            </w:r>
          </w:p>
          <w:p w:rsidR="00000000" w:rsidRPr="00D65A86" w:rsidP="00D65A86">
            <w:pPr>
              <w:pStyle w:val="List2"/>
            </w:pPr>
            <w:r w:rsidRPr="00D65A86">
              <w:t>2.4.</w:t>
            </w:r>
            <w:r w:rsidRPr="00D65A86">
              <w:tab/>
              <w:t>Conduct produ</w:t>
            </w:r>
            <w:r w:rsidRPr="00D65A86">
              <w:t>ct sampling and quality control checks according to standard procedures</w:t>
            </w:r>
          </w:p>
          <w:p w:rsidR="00000000" w:rsidRPr="00D65A86" w:rsidP="00D65A86">
            <w:pPr>
              <w:pStyle w:val="List2"/>
            </w:pPr>
            <w:r w:rsidRPr="00D65A86">
              <w:t>2.5.</w:t>
            </w:r>
            <w:r w:rsidRPr="00D65A86">
              <w:tab/>
              <w:t>Use ancillary equipment and observe safety procedures in accordance with enterprise requirements</w:t>
            </w:r>
          </w:p>
          <w:p w:rsidR="00000000" w:rsidP="00D65A86">
            <w:pPr>
              <w:pStyle w:val="List2"/>
              <w:rPr>
                <w:lang w:val="en-NZ"/>
              </w:rPr>
            </w:pPr>
            <w:r w:rsidRPr="00D65A86">
              <w:t>2.6.</w:t>
            </w:r>
            <w:r w:rsidRPr="00D65A86">
              <w:tab/>
              <w:t xml:space="preserve">Document and maintain records and production results according to enterprise </w:t>
            </w:r>
            <w:r w:rsidRPr="00D65A86">
              <w:t>requirements</w:t>
            </w:r>
          </w:p>
        </w:tc>
      </w:tr>
      <w:tr w:rsidTr="00DE3714">
        <w:tblPrEx>
          <w:tblW w:w="0" w:type="auto"/>
          <w:tblLayout w:type="fixed"/>
          <w:tblCellMar>
            <w:left w:w="62" w:type="dxa"/>
            <w:right w:w="62" w:type="dxa"/>
          </w:tblCellMar>
          <w:tblLook w:val="0000"/>
        </w:tblPrEx>
        <w:tc>
          <w:tcPr>
            <w:tcW w:w="2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A86">
            <w:pPr>
              <w:pStyle w:val="List"/>
              <w:rPr>
                <w:lang w:val="en-NZ"/>
              </w:rPr>
            </w:pPr>
            <w:r w:rsidRPr="00D65A86">
              <w:t>3.</w:t>
            </w:r>
            <w:r w:rsidRPr="00D65A86">
              <w:tab/>
              <w:t>Monitor and record reheating operation</w:t>
            </w:r>
          </w:p>
        </w:tc>
        <w:tc>
          <w:tcPr>
            <w:tcW w:w="5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A86" w:rsidP="00D65A86">
            <w:pPr>
              <w:pStyle w:val="List2"/>
            </w:pPr>
            <w:r w:rsidRPr="00D65A86">
              <w:t>3.1.</w:t>
            </w:r>
            <w:r w:rsidRPr="00D65A86">
              <w:tab/>
              <w:t>Measure and record operating parameters, according to enterprise requirements</w:t>
            </w:r>
          </w:p>
          <w:p w:rsidR="00000000" w:rsidRPr="00D65A86" w:rsidP="00D65A86">
            <w:pPr>
              <w:pStyle w:val="List2"/>
            </w:pPr>
            <w:r w:rsidRPr="00D65A86">
              <w:t>3.2.</w:t>
            </w:r>
            <w:r w:rsidRPr="00D65A86">
              <w:tab/>
              <w:t>Adjust reheating equipment controls to ensure glass parameters are maintained to job specifications</w:t>
            </w:r>
          </w:p>
          <w:p w:rsidR="00000000" w:rsidP="00D65A86">
            <w:pPr>
              <w:pStyle w:val="List2"/>
              <w:rPr>
                <w:lang w:val="en-NZ"/>
              </w:rPr>
            </w:pPr>
            <w:r w:rsidRPr="00D65A86">
              <w:t>3.3.</w:t>
            </w:r>
            <w:r w:rsidRPr="00D65A86">
              <w:tab/>
              <w:t xml:space="preserve">Ensure </w:t>
            </w:r>
            <w:r w:rsidRPr="00D65A86">
              <w:t>appropriate records and log books of equipment operations are maintained to meet procedures</w:t>
            </w:r>
          </w:p>
        </w:tc>
      </w:tr>
      <w:tr w:rsidTr="00DE3714">
        <w:tblPrEx>
          <w:tblW w:w="0" w:type="auto"/>
          <w:tblLayout w:type="fixed"/>
          <w:tblCellMar>
            <w:left w:w="62" w:type="dxa"/>
            <w:right w:w="62" w:type="dxa"/>
          </w:tblCellMar>
          <w:tblLook w:val="0000"/>
        </w:tblPrEx>
        <w:tc>
          <w:tcPr>
            <w:tcW w:w="2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A86">
            <w:pPr>
              <w:pStyle w:val="List"/>
              <w:rPr>
                <w:lang w:val="en-NZ"/>
              </w:rPr>
            </w:pPr>
            <w:r w:rsidRPr="00D65A86">
              <w:t>4.</w:t>
            </w:r>
            <w:r w:rsidRPr="00D65A86">
              <w:tab/>
              <w:t>Rectify routine problems</w:t>
            </w:r>
          </w:p>
        </w:tc>
        <w:tc>
          <w:tcPr>
            <w:tcW w:w="5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A86" w:rsidP="00D65A86">
            <w:pPr>
              <w:pStyle w:val="List2"/>
            </w:pPr>
            <w:r w:rsidRPr="00D65A86">
              <w:t>4.1.</w:t>
            </w:r>
            <w:r w:rsidRPr="00D65A86">
              <w:tab/>
              <w:t>Identify the range of faults that can occur during the operation</w:t>
            </w:r>
          </w:p>
          <w:p w:rsidR="00000000" w:rsidRPr="00D65A86" w:rsidP="00D65A86">
            <w:pPr>
              <w:pStyle w:val="List2"/>
            </w:pPr>
            <w:r w:rsidRPr="00D65A86">
              <w:t>4.2.</w:t>
            </w:r>
            <w:r w:rsidRPr="00D65A86">
              <w:tab/>
            </w:r>
            <w:r w:rsidRPr="00D65A86">
              <w:t>Determine and rectify fault causes in accordance with procedures</w:t>
            </w:r>
          </w:p>
          <w:p w:rsidR="00000000" w:rsidRPr="00D65A86" w:rsidP="00D65A86">
            <w:pPr>
              <w:pStyle w:val="List2"/>
            </w:pPr>
            <w:r w:rsidRPr="00D65A86">
              <w:t>4.3.</w:t>
            </w:r>
            <w:r w:rsidRPr="00D65A86">
              <w:tab/>
              <w:t>Identify and rectify equipment failure causes in accordance with procedures</w:t>
            </w:r>
          </w:p>
          <w:p w:rsidR="00000000" w:rsidP="00D65A86">
            <w:pPr>
              <w:pStyle w:val="List2"/>
              <w:rPr>
                <w:lang w:val="en-NZ"/>
              </w:rPr>
            </w:pPr>
            <w:r w:rsidRPr="00D65A86">
              <w:t>4.4.</w:t>
            </w:r>
            <w:r w:rsidRPr="00D65A86">
              <w:tab/>
              <w:t>Identify non-routine problems and report to designated person</w:t>
            </w:r>
          </w:p>
        </w:tc>
      </w:tr>
      <w:tr w:rsidTr="00DE3714">
        <w:tblPrEx>
          <w:tblW w:w="0" w:type="auto"/>
          <w:tblLayout w:type="fixed"/>
          <w:tblCellMar>
            <w:left w:w="62" w:type="dxa"/>
            <w:right w:w="62" w:type="dxa"/>
          </w:tblCellMar>
          <w:tblLook w:val="0000"/>
        </w:tblPrEx>
        <w:tc>
          <w:tcPr>
            <w:tcW w:w="2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A86">
            <w:pPr>
              <w:pStyle w:val="List"/>
              <w:rPr>
                <w:lang w:val="en-NZ"/>
              </w:rPr>
            </w:pPr>
            <w:r w:rsidRPr="00D65A86">
              <w:t>5.</w:t>
            </w:r>
            <w:r w:rsidRPr="00D65A86">
              <w:tab/>
              <w:t>Control hazards</w:t>
            </w:r>
          </w:p>
        </w:tc>
        <w:tc>
          <w:tcPr>
            <w:tcW w:w="5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A86" w:rsidP="00D65A86">
            <w:pPr>
              <w:pStyle w:val="List2"/>
            </w:pPr>
            <w:r w:rsidRPr="00D65A86">
              <w:t>5.1.</w:t>
            </w:r>
            <w:r w:rsidRPr="00D65A86">
              <w:tab/>
              <w:t>Identify hazards f</w:t>
            </w:r>
            <w:r w:rsidRPr="00D65A86">
              <w:t>rom the job to be done</w:t>
            </w:r>
          </w:p>
          <w:p w:rsidR="00000000" w:rsidRPr="00D65A86" w:rsidP="00D65A86">
            <w:pPr>
              <w:pStyle w:val="List2"/>
            </w:pPr>
            <w:r w:rsidRPr="00D65A86">
              <w:t>5.2.</w:t>
            </w:r>
            <w:r w:rsidRPr="00D65A86">
              <w:tab/>
              <w:t>Identify other hazards in the work area</w:t>
            </w:r>
          </w:p>
          <w:p w:rsidR="00000000" w:rsidRPr="00D65A86" w:rsidP="00D65A86">
            <w:pPr>
              <w:pStyle w:val="List2"/>
            </w:pPr>
            <w:r w:rsidRPr="00D65A86">
              <w:t>5.3.</w:t>
            </w:r>
            <w:r w:rsidRPr="00D65A86">
              <w:tab/>
              <w:t>Assess the risks arising from those hazards</w:t>
            </w:r>
          </w:p>
          <w:p w:rsidR="00000000" w:rsidRPr="00D65A86" w:rsidP="00D65A86">
            <w:pPr>
              <w:pStyle w:val="List2"/>
            </w:pPr>
            <w:r w:rsidRPr="00D65A86">
              <w:t>5.4.</w:t>
            </w:r>
            <w:r w:rsidRPr="00D65A86">
              <w:tab/>
              <w:t>Implement measures to control those risks in line with procedures</w:t>
            </w:r>
          </w:p>
        </w:tc>
      </w:tr>
    </w:tbl>
    <w:p w:rsidR="00000000" w:rsidRPr="00D65A86" w:rsidP="00D65A86">
      <w:pPr>
        <w:pStyle w:val="BodyText"/>
      </w:pPr>
    </w:p>
    <w:p w:rsidR="00000000" w:rsidRPr="00D65A86" w:rsidP="00D65A86">
      <w:pPr>
        <w:pStyle w:val="AllowPageBreak"/>
      </w:pPr>
    </w:p>
    <w:p w:rsidR="00000000" w:rsidRPr="00D65A86" w:rsidP="00D65A86">
      <w:pPr>
        <w:pStyle w:val="Heading1"/>
      </w:pPr>
      <w:bookmarkStart w:id="9" w:name="O_110171"/>
      <w:bookmarkEnd w:id="9"/>
      <w:r w:rsidRPr="00D65A86">
        <w:t>Required Skills and Knowledge</w:t>
      </w:r>
    </w:p>
    <w:tbl>
      <w:tblPr>
        <w:tblW w:w="0" w:type="auto"/>
        <w:tblLayout w:type="fixed"/>
        <w:tblCellMar>
          <w:left w:w="62" w:type="dxa"/>
          <w:right w:w="62" w:type="dxa"/>
        </w:tblCellMar>
        <w:tblLook w:val="0000"/>
      </w:tblPr>
      <w:tblGrid>
        <w:gridCol w:w="8522"/>
      </w:tblGrid>
      <w:tr w:rsidTr="00DE371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65A86">
            <w:pPr>
              <w:pStyle w:val="BodyText"/>
              <w:rPr>
                <w:lang w:val="en-NZ"/>
              </w:rPr>
            </w:pPr>
            <w:r w:rsidRPr="00D65A86">
              <w:rPr>
                <w:rStyle w:val="SpecialBold"/>
              </w:rPr>
              <w:t>REQUIRED SKILLS AND</w:t>
            </w:r>
            <w:r w:rsidRPr="00D65A86">
              <w:rPr>
                <w:rStyle w:val="SpecialBold"/>
              </w:rPr>
              <w:t xml:space="preserve"> KNOWLEDGE</w:t>
            </w:r>
          </w:p>
        </w:tc>
      </w:tr>
      <w:tr w:rsidTr="00DE371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65A86">
            <w:pPr>
              <w:pStyle w:val="BodyText"/>
              <w:rPr>
                <w:lang w:val="en-NZ"/>
              </w:rPr>
            </w:pPr>
            <w:r w:rsidRPr="00D65A86">
              <w:t>This section describes the skills and knowledge required for this unit.</w:t>
            </w:r>
          </w:p>
        </w:tc>
      </w:tr>
      <w:tr w:rsidTr="00DE37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A86">
            <w:pPr>
              <w:pStyle w:val="BodyText"/>
              <w:rPr>
                <w:lang w:val="en-NZ"/>
              </w:rPr>
            </w:pPr>
            <w:r w:rsidRPr="00D65A86">
              <w:rPr>
                <w:rStyle w:val="SpecialBold"/>
              </w:rPr>
              <w:t>Required skills</w:t>
            </w:r>
          </w:p>
        </w:tc>
      </w:tr>
      <w:tr w:rsidTr="00DE37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A86" w:rsidP="00D65A86">
            <w:pPr>
              <w:pStyle w:val="BodyText"/>
            </w:pPr>
            <w:r w:rsidRPr="00D65A86">
              <w:t>Required skills include:</w:t>
            </w:r>
          </w:p>
          <w:p w:rsidR="00000000" w:rsidRPr="00D65A86" w:rsidP="00D65A86">
            <w:pPr>
              <w:pStyle w:val="ListBullet"/>
            </w:pPr>
            <w:r w:rsidRPr="00D65A86">
              <w:t>recognising process conditions which will lead to out of specification production and taking appropriate action</w:t>
            </w:r>
          </w:p>
          <w:p w:rsidR="00000000" w:rsidRPr="00D65A86" w:rsidP="00D65A86">
            <w:pPr>
              <w:pStyle w:val="ListBullet"/>
            </w:pPr>
            <w:r w:rsidRPr="00D65A86">
              <w:t>implementing the enterprise's standard procedures and work instructions and relevant regulatory requirements within appropriate time constraints and in a manner relevant to the operation of the reheating equipment</w:t>
            </w:r>
          </w:p>
          <w:p w:rsidR="00000000" w:rsidP="00D65A86">
            <w:pPr>
              <w:pStyle w:val="ListBullet"/>
              <w:rPr>
                <w:lang w:val="en-NZ"/>
              </w:rPr>
            </w:pPr>
            <w:r w:rsidRPr="00D65A86">
              <w:t>reading and numeracy to interpret workplac</w:t>
            </w:r>
            <w:r w:rsidRPr="00D65A86">
              <w:t>e documents and technical information</w:t>
            </w:r>
          </w:p>
        </w:tc>
      </w:tr>
      <w:tr w:rsidTr="00DE37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A86">
            <w:pPr>
              <w:pStyle w:val="BodyText"/>
              <w:rPr>
                <w:lang w:val="en-NZ"/>
              </w:rPr>
            </w:pPr>
            <w:r w:rsidRPr="00D65A86">
              <w:rPr>
                <w:rStyle w:val="SpecialBold"/>
              </w:rPr>
              <w:t>Required knowledge</w:t>
            </w:r>
          </w:p>
        </w:tc>
      </w:tr>
      <w:tr w:rsidTr="00DE37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A86" w:rsidP="00D65A86">
            <w:pPr>
              <w:pStyle w:val="BodyText"/>
            </w:pPr>
            <w:r w:rsidRPr="00D65A86">
              <w:t>Required knowledge includes:</w:t>
            </w:r>
          </w:p>
          <w:p w:rsidR="00000000" w:rsidRPr="00D65A86" w:rsidP="00D65A86">
            <w:pPr>
              <w:pStyle w:val="ListBullet"/>
            </w:pPr>
            <w:r w:rsidRPr="00D65A86">
              <w:t>composition and nature of the glass</w:t>
            </w:r>
          </w:p>
          <w:p w:rsidR="00000000" w:rsidRPr="00D65A86" w:rsidP="00D65A86">
            <w:pPr>
              <w:pStyle w:val="ListBullet"/>
            </w:pPr>
            <w:r w:rsidRPr="00D65A86">
              <w:t>startup and shutdown processes</w:t>
            </w:r>
          </w:p>
          <w:p w:rsidR="00000000" w:rsidRPr="00D65A86" w:rsidP="00D65A86">
            <w:pPr>
              <w:pStyle w:val="ListBullet"/>
            </w:pPr>
            <w:r w:rsidRPr="00D65A86">
              <w:t>construction and limitations of reheating equipment and conditions</w:t>
            </w:r>
          </w:p>
          <w:p w:rsidR="00000000" w:rsidRPr="00D65A86" w:rsidP="00D65A86">
            <w:pPr>
              <w:pStyle w:val="ListBullet"/>
            </w:pPr>
            <w:r w:rsidRPr="00D65A86">
              <w:t>out of specification situations</w:t>
            </w:r>
          </w:p>
          <w:p w:rsidR="00000000" w:rsidRPr="00D65A86" w:rsidP="00D65A86">
            <w:pPr>
              <w:pStyle w:val="ListBullet"/>
            </w:pPr>
            <w:r w:rsidRPr="00D65A86">
              <w:t>a</w:t>
            </w:r>
            <w:r w:rsidRPr="00D65A86">
              <w:t>nnealing/toughening/conditioning/mirror/laminating/reheating process set up, including identification of isolation points and entering new parameters into PLC</w:t>
            </w:r>
          </w:p>
          <w:p w:rsidR="00000000" w:rsidRPr="00D65A86" w:rsidP="00D65A86">
            <w:pPr>
              <w:pStyle w:val="ListBullet"/>
            </w:pPr>
            <w:r w:rsidRPr="00D65A86">
              <w:t>temperature and temporary and permanent stress</w:t>
            </w:r>
          </w:p>
          <w:p w:rsidR="00000000" w:rsidRPr="00D65A86" w:rsidP="00D65A86">
            <w:pPr>
              <w:pStyle w:val="ListBullet"/>
            </w:pPr>
            <w:r w:rsidRPr="00D65A86">
              <w:t>annealing and post-annealing processes</w:t>
            </w:r>
          </w:p>
          <w:p w:rsidR="00000000" w:rsidRPr="00D65A86" w:rsidP="00D65A86">
            <w:pPr>
              <w:pStyle w:val="ListBullet"/>
            </w:pPr>
            <w:r w:rsidRPr="00D65A86">
              <w:t xml:space="preserve">toughening </w:t>
            </w:r>
            <w:r w:rsidRPr="00D65A86">
              <w:t xml:space="preserve">and post-toughening processes </w:t>
            </w:r>
          </w:p>
          <w:p w:rsidR="00000000" w:rsidRPr="00D65A86" w:rsidP="00D65A86">
            <w:pPr>
              <w:pStyle w:val="ListBullet"/>
            </w:pPr>
            <w:r w:rsidRPr="00D65A86">
              <w:t>quality problems such as:</w:t>
            </w:r>
          </w:p>
          <w:p w:rsidR="00000000" w:rsidRPr="00D65A86" w:rsidP="00D65A86">
            <w:pPr>
              <w:pStyle w:val="ListBullet2"/>
            </w:pPr>
            <w:r w:rsidRPr="00D65A86">
              <w:t>poor optics</w:t>
            </w:r>
          </w:p>
          <w:p w:rsidR="00000000" w:rsidRPr="00D65A86" w:rsidP="00D65A86">
            <w:pPr>
              <w:pStyle w:val="ListBullet2"/>
            </w:pPr>
            <w:r w:rsidRPr="00D65A86">
              <w:t>excessive breakage</w:t>
            </w:r>
          </w:p>
          <w:p w:rsidR="00000000" w:rsidRPr="00D65A86" w:rsidP="00D65A86">
            <w:pPr>
              <w:pStyle w:val="ListBullet2"/>
            </w:pPr>
            <w:r w:rsidRPr="00D65A86">
              <w:t>non-uniform break pattern</w:t>
            </w:r>
          </w:p>
          <w:p w:rsidR="00000000" w:rsidRPr="00D65A86" w:rsidP="00D65A86">
            <w:pPr>
              <w:pStyle w:val="ListBullet2"/>
            </w:pPr>
            <w:r w:rsidRPr="00D65A86">
              <w:t>incorrect cross bend</w:t>
            </w:r>
          </w:p>
          <w:p w:rsidR="00000000" w:rsidRPr="00D65A86" w:rsidP="00D65A86">
            <w:pPr>
              <w:pStyle w:val="ListBullet2"/>
            </w:pPr>
            <w:r w:rsidRPr="00D65A86">
              <w:t>excessive bow</w:t>
            </w:r>
          </w:p>
          <w:p w:rsidR="00000000" w:rsidRPr="00D65A86" w:rsidP="00D65A86">
            <w:pPr>
              <w:pStyle w:val="ListBullet2"/>
            </w:pPr>
            <w:r w:rsidRPr="00D65A86">
              <w:t>scratches</w:t>
            </w:r>
          </w:p>
          <w:p w:rsidR="00000000" w:rsidRPr="00D65A86" w:rsidP="00D65A86">
            <w:pPr>
              <w:pStyle w:val="ListBullet2"/>
            </w:pPr>
            <w:r w:rsidRPr="00D65A86">
              <w:t>poor glass shape</w:t>
            </w:r>
          </w:p>
          <w:p w:rsidR="00000000" w:rsidRPr="00D65A86" w:rsidP="00D65A86">
            <w:pPr>
              <w:pStyle w:val="ListBullet"/>
            </w:pPr>
            <w:r w:rsidRPr="00D65A86">
              <w:t>distinguish between causes of faults such as:</w:t>
            </w:r>
          </w:p>
          <w:p w:rsidR="00000000" w:rsidRPr="00D65A86" w:rsidP="00D65A86">
            <w:pPr>
              <w:pStyle w:val="ListBullet2"/>
            </w:pPr>
            <w:r w:rsidRPr="00D65A86">
              <w:t>raw material</w:t>
            </w:r>
          </w:p>
          <w:p w:rsidR="00000000" w:rsidRPr="00D65A86" w:rsidP="00D65A86">
            <w:pPr>
              <w:pStyle w:val="ListBullet2"/>
            </w:pPr>
            <w:r w:rsidRPr="00D65A86">
              <w:t>mechanical</w:t>
            </w:r>
          </w:p>
          <w:p w:rsidR="00000000" w:rsidRPr="00D65A86" w:rsidP="00D65A86">
            <w:pPr>
              <w:pStyle w:val="ListBullet2"/>
            </w:pPr>
            <w:r w:rsidRPr="00D65A86">
              <w:t>electrical/instrument</w:t>
            </w:r>
          </w:p>
        </w:tc>
      </w:tr>
    </w:tbl>
    <w:p w:rsidR="00000000" w:rsidRPr="00D65A86" w:rsidP="00D65A86">
      <w:pPr>
        <w:pStyle w:val="BodyText"/>
      </w:pPr>
    </w:p>
    <w:p w:rsidR="00000000" w:rsidRPr="00D65A86" w:rsidP="00D65A86">
      <w:pPr>
        <w:pStyle w:val="AllowPageBreak"/>
      </w:pPr>
    </w:p>
    <w:p w:rsidR="00000000" w:rsidRPr="00D65A86" w:rsidP="00D65A86">
      <w:pPr>
        <w:pStyle w:val="Heading1"/>
      </w:pPr>
      <w:bookmarkStart w:id="10" w:name="O_110172"/>
      <w:bookmarkEnd w:id="10"/>
      <w:r w:rsidRPr="00D65A86">
        <w:t>Evidence Guide</w:t>
      </w:r>
    </w:p>
    <w:tbl>
      <w:tblPr>
        <w:tblW w:w="9570" w:type="dxa"/>
        <w:tblLayout w:type="fixed"/>
        <w:tblCellMar>
          <w:left w:w="62" w:type="dxa"/>
          <w:right w:w="62" w:type="dxa"/>
        </w:tblCellMar>
        <w:tblLook w:val="0000"/>
      </w:tblPr>
      <w:tblGrid>
        <w:gridCol w:w="3908"/>
        <w:gridCol w:w="5662"/>
      </w:tblGrid>
      <w:tr w:rsidTr="00DE371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A86">
            <w:pPr>
              <w:pStyle w:val="BodyText"/>
              <w:rPr>
                <w:lang w:val="en-NZ"/>
              </w:rPr>
            </w:pPr>
            <w:r w:rsidRPr="00D65A86">
              <w:rPr>
                <w:rStyle w:val="SpecialBold"/>
              </w:rPr>
              <w:t>EVIDENCE GUIDE</w:t>
            </w:r>
          </w:p>
        </w:tc>
      </w:tr>
      <w:tr w:rsidTr="00DE371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A86">
            <w:pPr>
              <w:pStyle w:val="BodyText"/>
              <w:rPr>
                <w:lang w:val="en-NZ"/>
              </w:rPr>
            </w:pPr>
            <w:r w:rsidRPr="00D65A86">
              <w:t xml:space="preserve">The Evidence Guide provides advice on assessment and must be read in conjunction with the performance criteria, required skills and knowledge, </w:t>
            </w:r>
            <w:r w:rsidRPr="00D65A86">
              <w:t>range statement and the Assessment Guidelines for the Training Package.</w:t>
            </w:r>
          </w:p>
        </w:tc>
      </w:tr>
      <w:tr w:rsidTr="00DE37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A86">
            <w:pPr>
              <w:pStyle w:val="BodyText"/>
              <w:rPr>
                <w:lang w:val="en-NZ"/>
              </w:rPr>
            </w:pPr>
            <w:r w:rsidRPr="00D65A8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A86">
            <w:pPr>
              <w:pStyle w:val="BodyText"/>
              <w:rPr>
                <w:lang w:val="en-NZ"/>
              </w:rPr>
            </w:pPr>
            <w:r w:rsidRPr="00D65A86">
              <w:t xml:space="preserve">The unit will be assessed in as holistic a manner as is practical and may be integrated with the assessment of other relevant units of competency. </w:t>
            </w:r>
          </w:p>
        </w:tc>
      </w:tr>
      <w:tr w:rsidTr="00DE37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A86">
            <w:pPr>
              <w:pStyle w:val="BodyText"/>
              <w:rPr>
                <w:lang w:val="en-NZ"/>
              </w:rPr>
            </w:pPr>
            <w:r w:rsidRPr="00D65A8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A86" w:rsidP="00D65A86">
            <w:pPr>
              <w:pStyle w:val="BodyText"/>
            </w:pPr>
            <w:r w:rsidRPr="00D65A86">
              <w:t>It is essential that the reheating equipment be understood and that the importance of critical material properties, settings, parameters and readings is known. Com</w:t>
            </w:r>
            <w:r w:rsidRPr="00D65A86">
              <w:t>petence must be demonstrated in the ability to recognise and analyse potential situations requiring action and then in implementing appropriate corrective action.</w:t>
            </w:r>
          </w:p>
          <w:p w:rsidR="00000000" w:rsidRPr="00D65A86" w:rsidP="00D65A86">
            <w:pPr>
              <w:pStyle w:val="BodyText"/>
            </w:pPr>
            <w:r w:rsidRPr="00D65A86">
              <w:t>Consistent performance should be demonstrated. In particular look to see that:</w:t>
            </w:r>
          </w:p>
          <w:p w:rsidR="00000000" w:rsidRPr="00D65A86" w:rsidP="00D65A86">
            <w:pPr>
              <w:pStyle w:val="ListBullet"/>
            </w:pPr>
            <w:r w:rsidRPr="00D65A86">
              <w:t xml:space="preserve">temperatures </w:t>
            </w:r>
            <w:r w:rsidRPr="00D65A86">
              <w:t>and stress parameters are maintained within limits</w:t>
            </w:r>
          </w:p>
          <w:p w:rsidR="00000000" w:rsidRPr="00D65A86" w:rsidP="00D65A86">
            <w:pPr>
              <w:pStyle w:val="ListBullet"/>
            </w:pPr>
            <w:r w:rsidRPr="00D65A86">
              <w:t>equipment setup is completed in accordance with work instructions including identification of isolation points, correct isolation of equipment and correct entering of new parameters</w:t>
            </w:r>
          </w:p>
          <w:p w:rsidR="00000000" w:rsidRPr="00D65A86" w:rsidP="00D65A86">
            <w:pPr>
              <w:pStyle w:val="ListBullet"/>
            </w:pPr>
            <w:r w:rsidRPr="00D65A86">
              <w:t>startup and shutdown oc</w:t>
            </w:r>
            <w:r w:rsidRPr="00D65A86">
              <w:t>curs first time</w:t>
            </w:r>
          </w:p>
          <w:p w:rsidR="00000000" w:rsidRPr="00D65A86" w:rsidP="00D65A86">
            <w:pPr>
              <w:pStyle w:val="ListBullet"/>
            </w:pPr>
            <w:r w:rsidRPr="00D65A86">
              <w:t>signals and alarms are responded to immediately</w:t>
            </w:r>
          </w:p>
          <w:p w:rsidR="00000000" w:rsidRPr="00D65A86" w:rsidP="00D65A86">
            <w:pPr>
              <w:pStyle w:val="ListBullet"/>
            </w:pPr>
            <w:r w:rsidRPr="00D65A86">
              <w:t>process measurements are continually made, observed and interpreted</w:t>
            </w:r>
          </w:p>
          <w:p w:rsidR="00000000" w:rsidRPr="00D65A86" w:rsidP="00D65A86">
            <w:pPr>
              <w:pStyle w:val="ListBullet"/>
            </w:pPr>
            <w:r w:rsidRPr="00D65A86">
              <w:t>quality is maintained to customer specifications.</w:t>
            </w:r>
          </w:p>
          <w:p w:rsidR="00000000" w:rsidP="00D65A86">
            <w:pPr>
              <w:pStyle w:val="BodyText"/>
              <w:rPr>
                <w:lang w:val="en-NZ"/>
              </w:rPr>
            </w:pPr>
            <w:r w:rsidRPr="00D65A86">
              <w:t>Competence must be demonstrated in the operation of all ancillary equipmen</w:t>
            </w:r>
            <w:r w:rsidRPr="00D65A86">
              <w:t xml:space="preserve">t to the level required for this unit of competency. </w:t>
            </w:r>
          </w:p>
        </w:tc>
      </w:tr>
      <w:tr w:rsidTr="00DE37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A86">
            <w:pPr>
              <w:pStyle w:val="BodyText"/>
              <w:rPr>
                <w:lang w:val="en-NZ"/>
              </w:rPr>
            </w:pPr>
            <w:r w:rsidRPr="00D65A8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A86" w:rsidP="00D65A86">
            <w:pPr>
              <w:pStyle w:val="BodyText"/>
            </w:pPr>
            <w:r w:rsidRPr="00D65A86">
              <w:t>Assessment will require access to an operating plant over an extended period of time, or a suitable method of gathering evidence of operating ability ov</w:t>
            </w:r>
            <w:r w:rsidRPr="00D65A86">
              <w:t xml:space="preserve">er a range of situations. </w:t>
            </w:r>
          </w:p>
          <w:p w:rsidR="00000000" w:rsidRPr="00D65A86" w:rsidP="00D65A86">
            <w:pPr>
              <w:pStyle w:val="BodyText"/>
            </w:pPr>
            <w:r w:rsidRPr="00D65A86">
              <w:t>Assessment will occur over a range of situations which will include disruptions to normal, smooth operation.</w:t>
            </w:r>
          </w:p>
          <w:p w:rsidR="00000000" w:rsidP="00D65A86">
            <w:pPr>
              <w:pStyle w:val="BodyText"/>
              <w:rPr>
                <w:lang w:val="en-NZ"/>
              </w:rPr>
            </w:pPr>
            <w:r w:rsidRPr="00D65A86">
              <w:t>Simulation or case studies/scenarios may be required to allow for timely assessment of parts of this unit of competency. Simulation should be based on the actual plant and will include 'walk-throughs' of the relevant competency components. A bank of scenar</w:t>
            </w:r>
            <w:r w:rsidRPr="00D65A86">
              <w:t>ios/case studies/what ifs and questions will be required to probe the reasoning behind observable actions.</w:t>
            </w:r>
          </w:p>
        </w:tc>
      </w:tr>
      <w:tr w:rsidTr="00DE37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A86">
            <w:pPr>
              <w:pStyle w:val="BodyText"/>
              <w:rPr>
                <w:lang w:val="en-NZ"/>
              </w:rPr>
            </w:pPr>
            <w:r w:rsidRPr="00D65A8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A86" w:rsidP="00D65A86">
            <w:pPr>
              <w:pStyle w:val="BodyText"/>
            </w:pPr>
            <w:r w:rsidRPr="00D65A86">
              <w:t xml:space="preserve">In all plants it may be appropriate to assess this unit concurrently with relevant teamwork and communication units. </w:t>
            </w:r>
          </w:p>
          <w:p w:rsidR="00000000" w:rsidRPr="00D65A86" w:rsidP="00D65A86">
            <w:pPr>
              <w:pStyle w:val="BodyText"/>
            </w:pPr>
            <w:r w:rsidRPr="00D65A86">
              <w:t>It may be</w:t>
            </w:r>
            <w:r w:rsidRPr="00D65A86">
              <w:t xml:space="preserve"> appropriate to assess this unit concurrently with: </w:t>
            </w:r>
          </w:p>
          <w:p w:rsidR="00000000" w:rsidRPr="00D65A86" w:rsidP="00D65A86">
            <w:pPr>
              <w:pStyle w:val="ListBullet"/>
            </w:pPr>
            <w:r w:rsidRPr="00D65A86">
              <w:t>MSAPMSUP292A Sample and test materials and product.</w:t>
            </w:r>
          </w:p>
          <w:p w:rsidR="00000000" w:rsidP="00D65A86">
            <w:pPr>
              <w:pStyle w:val="BodyText"/>
              <w:rPr>
                <w:lang w:val="en-NZ"/>
              </w:rPr>
            </w:pPr>
            <w:r w:rsidRPr="00D65A86">
              <w:t>Individual enterprises may choose to add prerequisites and co-requisites relevant to their processes.</w:t>
            </w:r>
          </w:p>
        </w:tc>
      </w:tr>
      <w:tr w:rsidTr="00DE37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A86">
            <w:pPr>
              <w:pStyle w:val="BodyText"/>
              <w:rPr>
                <w:lang w:val="en-NZ"/>
              </w:rPr>
            </w:pPr>
            <w:r w:rsidRPr="00D65A8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A86" w:rsidP="00D65A86">
            <w:pPr>
              <w:pStyle w:val="BodyText"/>
            </w:pPr>
            <w:r w:rsidRPr="00D65A86">
              <w:t xml:space="preserve">Assessment </w:t>
            </w:r>
            <w:r w:rsidRPr="00D65A86">
              <w:t>processes and techniques must be culturally appropriate and appropriate to the language and literacy capacity of the candidate and the work being performed.</w:t>
            </w:r>
          </w:p>
        </w:tc>
      </w:tr>
    </w:tbl>
    <w:p w:rsidR="00000000" w:rsidRPr="00D65A86" w:rsidP="00D65A86">
      <w:pPr>
        <w:pStyle w:val="BodyText"/>
      </w:pPr>
    </w:p>
    <w:p w:rsidR="00000000" w:rsidRPr="00D65A86" w:rsidP="00D65A86">
      <w:pPr>
        <w:pStyle w:val="AllowPageBreak"/>
      </w:pPr>
    </w:p>
    <w:p w:rsidR="00000000" w:rsidRPr="00D65A86" w:rsidP="00D65A86">
      <w:pPr>
        <w:pStyle w:val="Heading1"/>
      </w:pPr>
      <w:bookmarkStart w:id="11" w:name="O_110173"/>
      <w:bookmarkEnd w:id="11"/>
      <w:r w:rsidRPr="00D65A86">
        <w:t>Range Statement</w:t>
      </w:r>
    </w:p>
    <w:tbl>
      <w:tblPr>
        <w:tblW w:w="0" w:type="auto"/>
        <w:tblLayout w:type="fixed"/>
        <w:tblCellMar>
          <w:left w:w="62" w:type="dxa"/>
          <w:right w:w="62" w:type="dxa"/>
        </w:tblCellMar>
        <w:tblLook w:val="0000"/>
      </w:tblPr>
      <w:tblGrid>
        <w:gridCol w:w="3379"/>
        <w:gridCol w:w="5143"/>
      </w:tblGrid>
      <w:tr w:rsidTr="00DE371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A86">
            <w:pPr>
              <w:pStyle w:val="BodyText"/>
              <w:rPr>
                <w:lang w:val="en-NZ"/>
              </w:rPr>
            </w:pPr>
            <w:r w:rsidRPr="00D65A86">
              <w:rPr>
                <w:rStyle w:val="SpecialBold"/>
              </w:rPr>
              <w:t>RANGE STATEMENT</w:t>
            </w:r>
          </w:p>
        </w:tc>
      </w:tr>
      <w:tr w:rsidTr="00DE371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A86">
            <w:pPr>
              <w:pStyle w:val="BodyText"/>
              <w:rPr>
                <w:lang w:val="en-NZ"/>
              </w:rPr>
            </w:pPr>
            <w:r w:rsidRPr="00D65A86">
              <w:t>The range statement relates to the unit of competency as a whole. It allows for different work environments and situations that may affect performance. Bold italicised wording, if used in the performance criteria, is detailed below. Essential operating con</w:t>
            </w:r>
            <w:r w:rsidRPr="00D65A86">
              <w:t>ditions that may be present with training and assessment (depending on the work situation, needs of the candidate, accessibility of the item, and local industry and regional contexts) may also be included.</w:t>
            </w:r>
          </w:p>
        </w:tc>
      </w:tr>
      <w:tr w:rsidTr="00DE3714">
        <w:tblPrEx>
          <w:tblW w:w="0" w:type="auto"/>
          <w:tblLayout w:type="fixed"/>
          <w:tblCellMar>
            <w:left w:w="62" w:type="dxa"/>
            <w:right w:w="62" w:type="dxa"/>
          </w:tblCellMar>
          <w:tblLook w:val="0000"/>
        </w:tblPrEx>
        <w:tc>
          <w:tcPr>
            <w:tcW w:w="33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A86">
            <w:pPr>
              <w:pStyle w:val="BodyText"/>
              <w:rPr>
                <w:lang w:val="en-NZ"/>
              </w:rPr>
            </w:pPr>
            <w:r w:rsidRPr="00D65A86">
              <w:rPr>
                <w:rStyle w:val="SpecialBold"/>
              </w:rPr>
              <w:t>Procedures</w:t>
            </w:r>
          </w:p>
        </w:tc>
        <w:tc>
          <w:tcPr>
            <w:tcW w:w="51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A86">
            <w:pPr>
              <w:pStyle w:val="BodyText"/>
              <w:rPr>
                <w:lang w:val="en-NZ"/>
              </w:rPr>
            </w:pPr>
            <w:r w:rsidRPr="00D65A86">
              <w:t>All operations are performed in accordance with standard procedures and work instructions</w:t>
            </w:r>
          </w:p>
        </w:tc>
      </w:tr>
      <w:tr w:rsidTr="00DE3714">
        <w:tblPrEx>
          <w:tblW w:w="0" w:type="auto"/>
          <w:tblLayout w:type="fixed"/>
          <w:tblCellMar>
            <w:left w:w="62" w:type="dxa"/>
            <w:right w:w="62" w:type="dxa"/>
          </w:tblCellMar>
          <w:tblLook w:val="0000"/>
        </w:tblPrEx>
        <w:tc>
          <w:tcPr>
            <w:tcW w:w="33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A86">
            <w:pPr>
              <w:pStyle w:val="BodyText"/>
              <w:rPr>
                <w:lang w:val="en-NZ"/>
              </w:rPr>
            </w:pPr>
            <w:r w:rsidRPr="00D65A86">
              <w:rPr>
                <w:rStyle w:val="SpecialBold"/>
              </w:rPr>
              <w:t>Line equipment</w:t>
            </w:r>
          </w:p>
        </w:tc>
        <w:tc>
          <w:tcPr>
            <w:tcW w:w="51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A86" w:rsidP="00D65A86">
            <w:pPr>
              <w:pStyle w:val="BodyText"/>
            </w:pPr>
            <w:r w:rsidRPr="00D65A86">
              <w:t>Line equipment includes:</w:t>
            </w:r>
          </w:p>
          <w:p w:rsidR="00000000" w:rsidRPr="00D65A86" w:rsidP="00D65A86">
            <w:pPr>
              <w:pStyle w:val="ListBullet"/>
            </w:pPr>
            <w:r w:rsidRPr="00D65A86">
              <w:t>robots</w:t>
            </w:r>
          </w:p>
          <w:p w:rsidR="00000000" w:rsidRPr="00D65A86" w:rsidP="00D65A86">
            <w:pPr>
              <w:pStyle w:val="ListBullet"/>
            </w:pPr>
            <w:r w:rsidRPr="00D65A86">
              <w:t>load stations</w:t>
            </w:r>
          </w:p>
          <w:p w:rsidR="00000000" w:rsidRPr="00D65A86" w:rsidP="00D65A86">
            <w:pPr>
              <w:pStyle w:val="ListBullet"/>
            </w:pPr>
            <w:r w:rsidRPr="00D65A86">
              <w:t>lehr furnace</w:t>
            </w:r>
          </w:p>
          <w:p w:rsidR="00000000" w:rsidP="00D65A86">
            <w:pPr>
              <w:pStyle w:val="ListBullet"/>
              <w:rPr>
                <w:lang w:val="en-NZ"/>
              </w:rPr>
            </w:pPr>
            <w:r w:rsidRPr="00D65A86">
              <w:t xml:space="preserve">unloading, station conveyors </w:t>
            </w:r>
          </w:p>
        </w:tc>
      </w:tr>
      <w:tr w:rsidTr="00DE3714">
        <w:tblPrEx>
          <w:tblW w:w="0" w:type="auto"/>
          <w:tblLayout w:type="fixed"/>
          <w:tblCellMar>
            <w:left w:w="62" w:type="dxa"/>
            <w:right w:w="62" w:type="dxa"/>
          </w:tblCellMar>
          <w:tblLook w:val="0000"/>
        </w:tblPrEx>
        <w:tc>
          <w:tcPr>
            <w:tcW w:w="33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A86">
            <w:pPr>
              <w:pStyle w:val="BodyText"/>
              <w:rPr>
                <w:lang w:val="en-NZ"/>
              </w:rPr>
            </w:pPr>
            <w:r w:rsidRPr="00D65A86">
              <w:rPr>
                <w:rStyle w:val="SpecialBold"/>
              </w:rPr>
              <w:t>Equipment</w:t>
            </w:r>
          </w:p>
        </w:tc>
        <w:tc>
          <w:tcPr>
            <w:tcW w:w="51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A86" w:rsidP="00D65A86">
            <w:pPr>
              <w:pStyle w:val="BodyText"/>
            </w:pPr>
            <w:r w:rsidRPr="00D65A86">
              <w:t xml:space="preserve">This unit includes annealing/conditioning/reheating equipment applicable to each specific area of glass products manufacture. These may include: </w:t>
            </w:r>
          </w:p>
          <w:p w:rsidR="00000000" w:rsidRPr="00D65A86" w:rsidP="00D65A86">
            <w:pPr>
              <w:pStyle w:val="ListBullet"/>
            </w:pPr>
            <w:r w:rsidRPr="00D65A86">
              <w:t>packaging, bottles and jars</w:t>
            </w:r>
          </w:p>
          <w:p w:rsidR="00000000" w:rsidRPr="00D65A86" w:rsidP="00D65A86">
            <w:pPr>
              <w:pStyle w:val="ListBullet"/>
            </w:pPr>
            <w:r w:rsidRPr="00D65A86">
              <w:t>automotive glass</w:t>
            </w:r>
          </w:p>
          <w:p w:rsidR="00000000" w:rsidP="00D65A86">
            <w:pPr>
              <w:pStyle w:val="ListBullet"/>
              <w:rPr>
                <w:lang w:val="en-NZ"/>
              </w:rPr>
            </w:pPr>
            <w:r w:rsidRPr="00D65A86">
              <w:t>flat glass</w:t>
            </w:r>
          </w:p>
        </w:tc>
      </w:tr>
      <w:tr w:rsidTr="00DE3714">
        <w:tblPrEx>
          <w:tblW w:w="0" w:type="auto"/>
          <w:tblLayout w:type="fixed"/>
          <w:tblCellMar>
            <w:left w:w="62" w:type="dxa"/>
            <w:right w:w="62" w:type="dxa"/>
          </w:tblCellMar>
          <w:tblLook w:val="0000"/>
        </w:tblPrEx>
        <w:tc>
          <w:tcPr>
            <w:tcW w:w="33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A86">
            <w:pPr>
              <w:pStyle w:val="BodyText"/>
              <w:rPr>
                <w:lang w:val="en-NZ"/>
              </w:rPr>
            </w:pPr>
            <w:r w:rsidRPr="00D65A86">
              <w:rPr>
                <w:rStyle w:val="SpecialBold"/>
              </w:rPr>
              <w:t>Tools and equipment</w:t>
            </w:r>
          </w:p>
        </w:tc>
        <w:tc>
          <w:tcPr>
            <w:tcW w:w="51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A86" w:rsidP="00D65A86">
            <w:pPr>
              <w:pStyle w:val="BodyText"/>
            </w:pPr>
            <w:r w:rsidRPr="00D65A86">
              <w:t>Tools and equipment may include:</w:t>
            </w:r>
          </w:p>
          <w:p w:rsidR="00000000" w:rsidRPr="00D65A86" w:rsidP="00D65A86">
            <w:pPr>
              <w:pStyle w:val="ListBullet"/>
            </w:pPr>
            <w:r w:rsidRPr="00D65A86">
              <w:t>reheating equipment and associated equipment</w:t>
            </w:r>
          </w:p>
          <w:p w:rsidR="00000000" w:rsidRPr="00D65A86" w:rsidP="00D65A86">
            <w:pPr>
              <w:pStyle w:val="ListBullet"/>
            </w:pPr>
            <w:r w:rsidRPr="00D65A86">
              <w:t>toughening equipment</w:t>
            </w:r>
          </w:p>
          <w:p w:rsidR="00000000" w:rsidRPr="00D65A86" w:rsidP="00D65A86">
            <w:pPr>
              <w:pStyle w:val="ListBullet"/>
            </w:pPr>
            <w:r w:rsidRPr="00D65A86">
              <w:t>mirror and laminating equipment</w:t>
            </w:r>
          </w:p>
          <w:p w:rsidR="00000000" w:rsidRPr="00D65A86" w:rsidP="00D65A86">
            <w:pPr>
              <w:pStyle w:val="ListBullet"/>
            </w:pPr>
            <w:r w:rsidRPr="00D65A86">
              <w:t>annealing and associated equipment</w:t>
            </w:r>
          </w:p>
          <w:p w:rsidR="00000000" w:rsidRPr="00D65A86" w:rsidP="00D65A86">
            <w:pPr>
              <w:pStyle w:val="ListBullet"/>
            </w:pPr>
            <w:r w:rsidRPr="00D65A86">
              <w:t>gas stations</w:t>
            </w:r>
          </w:p>
          <w:p w:rsidR="00000000" w:rsidRPr="00D65A86" w:rsidP="00D65A86">
            <w:pPr>
              <w:pStyle w:val="ListBullet"/>
            </w:pPr>
            <w:r w:rsidRPr="00D65A86">
              <w:t>computers</w:t>
            </w:r>
          </w:p>
          <w:p w:rsidR="00000000" w:rsidRPr="00D65A86" w:rsidP="00D65A86">
            <w:pPr>
              <w:pStyle w:val="ListBullet"/>
            </w:pPr>
            <w:r w:rsidRPr="00D65A86">
              <w:t>measuring and recording equipment</w:t>
            </w:r>
          </w:p>
          <w:p w:rsidR="00000000" w:rsidRPr="00D65A86" w:rsidP="00D65A86">
            <w:pPr>
              <w:pStyle w:val="ListBullet"/>
            </w:pPr>
            <w:r w:rsidRPr="00D65A86">
              <w:t>communication equipment</w:t>
            </w:r>
          </w:p>
          <w:p w:rsidR="00000000" w:rsidRPr="00D65A86" w:rsidP="00D65A86">
            <w:pPr>
              <w:pStyle w:val="ListBullet"/>
            </w:pPr>
            <w:r w:rsidRPr="00D65A86">
              <w:t>hand tools</w:t>
            </w:r>
          </w:p>
          <w:p w:rsidR="00000000" w:rsidP="00D65A86">
            <w:pPr>
              <w:pStyle w:val="ListBullet"/>
              <w:rPr>
                <w:lang w:val="en-NZ"/>
              </w:rPr>
            </w:pPr>
            <w:r w:rsidRPr="00D65A86">
              <w:t>safety clothing and equipment</w:t>
            </w:r>
          </w:p>
        </w:tc>
      </w:tr>
      <w:tr w:rsidTr="00DE3714">
        <w:tblPrEx>
          <w:tblW w:w="0" w:type="auto"/>
          <w:tblLayout w:type="fixed"/>
          <w:tblCellMar>
            <w:left w:w="62" w:type="dxa"/>
            <w:right w:w="62" w:type="dxa"/>
          </w:tblCellMar>
          <w:tblLook w:val="0000"/>
        </w:tblPrEx>
        <w:tc>
          <w:tcPr>
            <w:tcW w:w="33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A86">
            <w:pPr>
              <w:pStyle w:val="BodyText"/>
              <w:rPr>
                <w:lang w:val="en-NZ"/>
              </w:rPr>
            </w:pPr>
            <w:r w:rsidRPr="00D65A86">
              <w:rPr>
                <w:rStyle w:val="SpecialBold"/>
              </w:rPr>
              <w:t>Typical problems</w:t>
            </w:r>
            <w:r w:rsidRPr="00D65A86">
              <w:t xml:space="preserve"> </w:t>
            </w:r>
          </w:p>
        </w:tc>
        <w:tc>
          <w:tcPr>
            <w:tcW w:w="51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A86" w:rsidP="00D65A86">
            <w:pPr>
              <w:pStyle w:val="BodyText"/>
            </w:pPr>
            <w:r w:rsidRPr="00D65A86">
              <w:t>Typical problems may include:</w:t>
            </w:r>
          </w:p>
          <w:p w:rsidR="00000000" w:rsidRPr="00D65A86" w:rsidP="00D65A86">
            <w:pPr>
              <w:pStyle w:val="ListBullet"/>
            </w:pPr>
            <w:r w:rsidRPr="00D65A86">
              <w:t>temperature and pressure problems</w:t>
            </w:r>
          </w:p>
          <w:p w:rsidR="00000000" w:rsidRPr="00D65A86" w:rsidP="00D65A86">
            <w:pPr>
              <w:pStyle w:val="ListBullet"/>
            </w:pPr>
            <w:r w:rsidRPr="00D65A86">
              <w:t>equipment problems</w:t>
            </w:r>
          </w:p>
          <w:p w:rsidR="00000000" w:rsidP="00D65A86">
            <w:pPr>
              <w:pStyle w:val="ListBullet"/>
              <w:rPr>
                <w:lang w:val="en-NZ"/>
              </w:rPr>
            </w:pPr>
            <w:r w:rsidRPr="00D65A86">
              <w:t>quality problems</w:t>
            </w:r>
          </w:p>
        </w:tc>
      </w:tr>
      <w:tr w:rsidTr="00DE3714">
        <w:tblPrEx>
          <w:tblW w:w="0" w:type="auto"/>
          <w:tblLayout w:type="fixed"/>
          <w:tblCellMar>
            <w:left w:w="62" w:type="dxa"/>
            <w:right w:w="62" w:type="dxa"/>
          </w:tblCellMar>
          <w:tblLook w:val="0000"/>
        </w:tblPrEx>
        <w:tc>
          <w:tcPr>
            <w:tcW w:w="33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A86">
            <w:pPr>
              <w:pStyle w:val="BodyText"/>
              <w:rPr>
                <w:lang w:val="en-NZ"/>
              </w:rPr>
            </w:pPr>
            <w:r w:rsidRPr="00D65A86">
              <w:rPr>
                <w:rStyle w:val="SpecialBold"/>
              </w:rPr>
              <w:t>Occupational health and safety</w:t>
            </w:r>
            <w:r w:rsidRPr="00D65A86">
              <w:t xml:space="preserve"> (</w:t>
            </w:r>
            <w:r w:rsidRPr="00D65A86">
              <w:rPr>
                <w:rStyle w:val="SpecialBold"/>
              </w:rPr>
              <w:t>OHS</w:t>
            </w:r>
            <w:r w:rsidRPr="00D65A86">
              <w:t>)</w:t>
            </w:r>
          </w:p>
        </w:tc>
        <w:tc>
          <w:tcPr>
            <w:tcW w:w="51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A86" w:rsidP="00D65A86">
            <w:pPr>
              <w:pStyle w:val="BodyText"/>
            </w:pPr>
            <w:r w:rsidRPr="00D65A86">
              <w:t>All operations are subject to stringent OHS r</w:t>
            </w:r>
            <w:r w:rsidRPr="00D65A86">
              <w:t>equirements and these must not be compromised at any time. Where there is an apparent conflict between performance criteria and OHS requirements, the OHS requirements take precedence</w:t>
            </w:r>
          </w:p>
        </w:tc>
      </w:tr>
    </w:tbl>
    <w:p w:rsidR="00DE3714" w:rsidP="00D65A86">
      <w:pPr>
        <w:pStyle w:val="BodyText"/>
      </w:pPr>
    </w:p>
    <w:p w:rsidR="00DE3714" w:rsidP="00D65A86">
      <w:pPr>
        <w:pStyle w:val="BodyText"/>
      </w:pPr>
    </w:p>
    <w:p w:rsidR="00000000" w:rsidRPr="00D65A86" w:rsidP="00D65A86">
      <w:pPr>
        <w:pStyle w:val="Heading1"/>
      </w:pPr>
      <w:bookmarkStart w:id="12" w:name="O_110174"/>
      <w:bookmarkEnd w:id="12"/>
      <w:r w:rsidRPr="00D65A86">
        <w:t>Unit Sector(s)</w:t>
      </w:r>
    </w:p>
    <w:tbl>
      <w:tblPr>
        <w:tblW w:w="0" w:type="auto"/>
        <w:tblLayout w:type="fixed"/>
        <w:tblCellMar>
          <w:left w:w="62" w:type="dxa"/>
          <w:right w:w="62" w:type="dxa"/>
        </w:tblCellMar>
        <w:tblLook w:val="0000"/>
      </w:tblPr>
      <w:tblGrid>
        <w:gridCol w:w="2567"/>
        <w:gridCol w:w="5955"/>
      </w:tblGrid>
      <w:tr w:rsidTr="00DE3714">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A86">
            <w:pPr>
              <w:pStyle w:val="BodyText"/>
              <w:rPr>
                <w:lang w:val="en-NZ"/>
              </w:rPr>
            </w:pPr>
            <w:r w:rsidRPr="00D65A86">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A86" w:rsidP="00D65A86">
            <w:pPr>
              <w:pStyle w:val="BodyText"/>
            </w:pPr>
            <w:r w:rsidRPr="00D65A86">
              <w:t>Operational/technical</w:t>
            </w:r>
          </w:p>
        </w:tc>
      </w:tr>
    </w:tbl>
    <w:p w:rsidR="00000000" w:rsidRPr="00D65A86" w:rsidP="00D65A86">
      <w:pPr>
        <w:pStyle w:val="BodyText"/>
      </w:pPr>
    </w:p>
    <w:p w:rsidR="00000000" w:rsidRPr="00D65A86" w:rsidP="00D65A86">
      <w:pPr>
        <w:pStyle w:val="AllowPageBreak"/>
      </w:pPr>
    </w:p>
    <w:p w:rsidR="00000000" w:rsidRPr="00D65A86" w:rsidP="00D65A86">
      <w:pPr>
        <w:pStyle w:val="Heading1"/>
      </w:pPr>
      <w:bookmarkStart w:id="13" w:name="O_160129"/>
      <w:bookmarkEnd w:id="13"/>
      <w:r w:rsidRPr="00D65A86">
        <w:t>Competency field</w:t>
      </w:r>
    </w:p>
    <w:tbl>
      <w:tblPr>
        <w:tblW w:w="0" w:type="auto"/>
        <w:tblLayout w:type="fixed"/>
        <w:tblCellMar>
          <w:left w:w="62" w:type="dxa"/>
          <w:right w:w="62" w:type="dxa"/>
        </w:tblCellMar>
        <w:tblLook w:val="0000"/>
      </w:tblPr>
      <w:tblGrid>
        <w:gridCol w:w="2784"/>
        <w:gridCol w:w="5738"/>
      </w:tblGrid>
      <w:tr w:rsidTr="00DE371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A86">
            <w:pPr>
              <w:pStyle w:val="BodyText"/>
              <w:rPr>
                <w:lang w:val="en-NZ"/>
              </w:rPr>
            </w:pPr>
            <w:r w:rsidRPr="00D65A8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A86" w:rsidP="00D65A86">
            <w:pPr>
              <w:pStyle w:val="BodyText"/>
            </w:pPr>
          </w:p>
        </w:tc>
      </w:tr>
    </w:tbl>
    <w:p w:rsidR="00000000" w:rsidRPr="00D65A86" w:rsidP="00D65A86">
      <w:pPr>
        <w:pStyle w:val="BodyText"/>
      </w:pPr>
    </w:p>
    <w:p w:rsidR="00000000" w:rsidRPr="00D65A86" w:rsidP="00D65A86">
      <w:pPr>
        <w:pStyle w:val="AllowPageBreak"/>
      </w:pPr>
    </w:p>
    <w:p w:rsidR="00000000" w:rsidRPr="00D65A86" w:rsidP="00D65A86">
      <w:pPr>
        <w:pStyle w:val="Heading1"/>
      </w:pPr>
      <w:bookmarkStart w:id="14" w:name="O_160128"/>
      <w:bookmarkEnd w:id="14"/>
      <w:r w:rsidRPr="00D65A86">
        <w:t>Co-requisite units</w:t>
      </w:r>
    </w:p>
    <w:tbl>
      <w:tblPr>
        <w:tblW w:w="0" w:type="auto"/>
        <w:tblLayout w:type="fixed"/>
        <w:tblCellMar>
          <w:left w:w="62" w:type="dxa"/>
          <w:right w:w="62" w:type="dxa"/>
        </w:tblCellMar>
        <w:tblLook w:val="0000"/>
      </w:tblPr>
      <w:tblGrid>
        <w:gridCol w:w="2641"/>
        <w:gridCol w:w="1322"/>
        <w:gridCol w:w="4559"/>
      </w:tblGrid>
      <w:tr w:rsidTr="00DE371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A86">
            <w:pPr>
              <w:pStyle w:val="BodyText"/>
              <w:rPr>
                <w:lang w:val="en-NZ"/>
              </w:rPr>
            </w:pPr>
            <w:r w:rsidRPr="00D65A8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A86">
            <w:pPr>
              <w:pStyle w:val="BodyText"/>
              <w:rPr>
                <w:lang w:val="en-NZ"/>
              </w:rPr>
            </w:pPr>
          </w:p>
        </w:tc>
      </w:tr>
      <w:tr w:rsidTr="00DE371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A86">
            <w:pPr>
              <w:pStyle w:val="BodyText"/>
              <w:rPr>
                <w:lang w:val="en-NZ"/>
              </w:rPr>
            </w:pPr>
          </w:p>
        </w:tc>
      </w:tr>
      <w:tr w:rsidTr="00DE371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A86" w:rsidP="00D65A86">
            <w:pPr>
              <w:pStyle w:val="BodyText"/>
            </w:pPr>
          </w:p>
        </w:tc>
      </w:tr>
    </w:tbl>
    <w:p w:rsidR="00000000" w:rsidRPr="00D65A86" w:rsidP="00D65A86">
      <w:pPr>
        <w:pStyle w:val="BodyText"/>
      </w:pPr>
    </w:p>
    <w:p w:rsidR="00000000" w:rsidRPr="00D65A86" w:rsidP="00D65A86"/>
    <w:sectPr w:rsidSect="00D65A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A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3714" w:rsidP="00DE37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A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714" w:rsidP="00D65A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E3714" w:rsidP="00D65A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E3714" w:rsidP="00D65A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A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3714" w:rsidP="00DE371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A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714" w:rsidP="00D65A86">
    <w:pPr>
      <w:pStyle w:val="Header"/>
      <w:framePr w:wrap="around"/>
    </w:pPr>
    <w:r>
      <w:fldChar w:fldCharType="begin"/>
    </w:r>
    <w:r>
      <w:instrText xml:space="preserve"> TITLE   \* MERGEFORMAT </w:instrText>
    </w:r>
    <w:r>
      <w:fldChar w:fldCharType="separate"/>
    </w:r>
    <w:r>
      <w:t>PMC552041C Operate process ovens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E3714" w:rsidP="00D65A8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B8A1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649C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0A0E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5A8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65A86"/>
    <w:pPr>
      <w:spacing w:before="360" w:after="60"/>
      <w:outlineLvl w:val="0"/>
    </w:pPr>
    <w:rPr>
      <w:sz w:val="32"/>
    </w:rPr>
  </w:style>
  <w:style w:type="paragraph" w:styleId="Heading2">
    <w:name w:val="heading 2"/>
    <w:basedOn w:val="HeadingBase"/>
    <w:next w:val="BodyText"/>
    <w:link w:val="Heading2Char"/>
    <w:qFormat/>
    <w:rsid w:val="00D65A86"/>
    <w:pPr>
      <w:keepLines/>
      <w:spacing w:before="240" w:after="120"/>
      <w:outlineLvl w:val="1"/>
    </w:pPr>
    <w:rPr>
      <w:sz w:val="28"/>
      <w:szCs w:val="40"/>
    </w:rPr>
  </w:style>
  <w:style w:type="paragraph" w:styleId="Heading3">
    <w:name w:val="heading 3"/>
    <w:basedOn w:val="HeadingBase"/>
    <w:next w:val="BodyText"/>
    <w:link w:val="Heading3Char"/>
    <w:qFormat/>
    <w:rsid w:val="00D65A86"/>
    <w:pPr>
      <w:spacing w:before="180" w:after="120"/>
      <w:outlineLvl w:val="2"/>
    </w:pPr>
    <w:rPr>
      <w:spacing w:val="-10"/>
      <w:kern w:val="32"/>
    </w:rPr>
  </w:style>
  <w:style w:type="paragraph" w:styleId="Heading4">
    <w:name w:val="heading 4"/>
    <w:basedOn w:val="HeadingBase"/>
    <w:next w:val="BodyText"/>
    <w:link w:val="Heading4Char"/>
    <w:qFormat/>
    <w:rsid w:val="00D65A86"/>
    <w:pPr>
      <w:spacing w:before="160" w:after="120"/>
      <w:outlineLvl w:val="3"/>
    </w:pPr>
    <w:rPr>
      <w:sz w:val="22"/>
    </w:rPr>
  </w:style>
  <w:style w:type="paragraph" w:styleId="Heading5">
    <w:name w:val="heading 5"/>
    <w:basedOn w:val="HeadingBase"/>
    <w:next w:val="Normal"/>
    <w:link w:val="Heading5Char"/>
    <w:qFormat/>
    <w:rsid w:val="00D65A86"/>
    <w:pPr>
      <w:spacing w:before="80"/>
      <w:outlineLvl w:val="4"/>
    </w:pPr>
    <w:rPr>
      <w:color w:val="918585"/>
      <w:sz w:val="20"/>
    </w:rPr>
  </w:style>
  <w:style w:type="paragraph" w:styleId="Heading6">
    <w:name w:val="heading 6"/>
    <w:basedOn w:val="HeadingBase"/>
    <w:next w:val="Normal"/>
    <w:link w:val="Heading6Char"/>
    <w:qFormat/>
    <w:rsid w:val="00D65A86"/>
    <w:pPr>
      <w:spacing w:before="60"/>
      <w:outlineLvl w:val="5"/>
    </w:pPr>
    <w:rPr>
      <w:color w:val="918585"/>
      <w:sz w:val="20"/>
    </w:rPr>
  </w:style>
  <w:style w:type="paragraph" w:styleId="Heading7">
    <w:name w:val="heading 7"/>
    <w:basedOn w:val="Normal"/>
    <w:next w:val="Normal"/>
    <w:link w:val="Heading7Char"/>
    <w:qFormat/>
    <w:rsid w:val="00D65A86"/>
    <w:pPr>
      <w:ind w:left="720"/>
      <w:outlineLvl w:val="6"/>
    </w:pPr>
    <w:rPr>
      <w:i/>
    </w:rPr>
  </w:style>
  <w:style w:type="paragraph" w:styleId="Heading8">
    <w:name w:val="heading 8"/>
    <w:basedOn w:val="Normal"/>
    <w:next w:val="Normal"/>
    <w:link w:val="Heading8Char"/>
    <w:qFormat/>
    <w:rsid w:val="00D65A86"/>
    <w:pPr>
      <w:ind w:left="720"/>
      <w:outlineLvl w:val="7"/>
    </w:pPr>
    <w:rPr>
      <w:i/>
    </w:rPr>
  </w:style>
  <w:style w:type="paragraph" w:styleId="Heading9">
    <w:name w:val="heading 9"/>
    <w:basedOn w:val="Normal"/>
    <w:next w:val="Normal"/>
    <w:link w:val="Heading9Char"/>
    <w:qFormat/>
    <w:rsid w:val="00D65A86"/>
    <w:pPr>
      <w:ind w:left="720"/>
      <w:outlineLvl w:val="8"/>
    </w:pPr>
    <w:rPr>
      <w:i/>
    </w:rPr>
  </w:style>
  <w:style w:type="character" w:default="1" w:styleId="DefaultParagraphFont">
    <w:name w:val="Default Paragraph Font"/>
    <w:uiPriority w:val="1"/>
    <w:unhideWhenUsed/>
    <w:rsid w:val="00D65A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5A86"/>
  </w:style>
  <w:style w:type="character" w:customStyle="1" w:styleId="Heading1Char">
    <w:name w:val="Heading 1 Char"/>
    <w:basedOn w:val="DefaultParagraphFont"/>
    <w:link w:val="Heading1"/>
    <w:rsid w:val="00D65A86"/>
    <w:rPr>
      <w:rFonts w:ascii="Times New Roman" w:eastAsia="Times New Roman" w:hAnsi="Times New Roman" w:cs="Times New Roman"/>
      <w:b/>
      <w:sz w:val="32"/>
      <w:szCs w:val="20"/>
      <w:lang w:eastAsia="en-US"/>
    </w:rPr>
  </w:style>
  <w:style w:type="paragraph" w:styleId="BodyText">
    <w:name w:val="Body Text"/>
    <w:basedOn w:val="Normal"/>
    <w:link w:val="BodyTextChar"/>
    <w:rsid w:val="00D65A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5A86"/>
    <w:rPr>
      <w:rFonts w:ascii="Times New Roman" w:eastAsia="Times New Roman" w:hAnsi="Times New Roman" w:cs="Times New Roman"/>
      <w:sz w:val="24"/>
      <w:lang w:val="en-US" w:eastAsia="en-US"/>
    </w:rPr>
  </w:style>
  <w:style w:type="paragraph" w:styleId="Footer">
    <w:name w:val="footer"/>
    <w:basedOn w:val="Normal"/>
    <w:link w:val="FooterChar"/>
    <w:rsid w:val="00D65A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5A86"/>
    <w:rPr>
      <w:rFonts w:ascii="Times New Roman" w:eastAsia="Times New Roman" w:hAnsi="Times New Roman" w:cs="Times New Roman"/>
      <w:sz w:val="16"/>
      <w:lang w:val="en-US" w:eastAsia="en-US"/>
    </w:rPr>
  </w:style>
  <w:style w:type="paragraph" w:styleId="List">
    <w:name w:val="List"/>
    <w:basedOn w:val="BodyText"/>
    <w:next w:val="BodyText"/>
    <w:rsid w:val="00D65A86"/>
    <w:pPr>
      <w:tabs>
        <w:tab w:val="left" w:pos="340"/>
      </w:tabs>
      <w:spacing w:before="60" w:after="60"/>
      <w:ind w:left="340" w:hanging="340"/>
    </w:pPr>
  </w:style>
  <w:style w:type="paragraph" w:styleId="ListBullet">
    <w:name w:val="List Bullet"/>
    <w:basedOn w:val="List"/>
    <w:rsid w:val="00D65A86"/>
    <w:pPr>
      <w:numPr>
        <w:numId w:val="13"/>
      </w:numPr>
      <w:tabs>
        <w:tab w:val="clear" w:pos="340"/>
      </w:tabs>
      <w:spacing w:before="40" w:after="40"/>
    </w:pPr>
  </w:style>
  <w:style w:type="character" w:customStyle="1" w:styleId="SpecialBold">
    <w:name w:val="Special Bold"/>
    <w:basedOn w:val="DefaultParagraphFont"/>
    <w:rsid w:val="00D65A86"/>
    <w:rPr>
      <w:b/>
      <w:spacing w:val="0"/>
    </w:rPr>
  </w:style>
  <w:style w:type="paragraph" w:styleId="ListBullet2">
    <w:name w:val="List Bullet 2"/>
    <w:basedOn w:val="List2"/>
    <w:rsid w:val="00D65A86"/>
    <w:pPr>
      <w:numPr>
        <w:numId w:val="14"/>
      </w:numPr>
      <w:tabs>
        <w:tab w:val="clear" w:pos="680"/>
      </w:tabs>
    </w:pPr>
  </w:style>
  <w:style w:type="paragraph" w:styleId="Header">
    <w:name w:val="header"/>
    <w:basedOn w:val="Normal"/>
    <w:link w:val="HeaderChar"/>
    <w:rsid w:val="00D65A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5A8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65A86"/>
    <w:rPr>
      <w:i/>
    </w:rPr>
  </w:style>
  <w:style w:type="paragraph" w:customStyle="1" w:styleId="SuperHeading">
    <w:name w:val="SuperHeading"/>
    <w:basedOn w:val="Normal"/>
    <w:rsid w:val="00D65A86"/>
    <w:pPr>
      <w:spacing w:before="240" w:after="120"/>
      <w:outlineLvl w:val="0"/>
    </w:pPr>
    <w:rPr>
      <w:rFonts w:ascii="Times New Roman" w:hAnsi="Times New Roman"/>
      <w:b/>
      <w:sz w:val="28"/>
    </w:rPr>
  </w:style>
  <w:style w:type="paragraph" w:customStyle="1" w:styleId="AllowPageBreak">
    <w:name w:val="AllowPageBreak"/>
    <w:rsid w:val="00D65A8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65A86"/>
    <w:pPr>
      <w:tabs>
        <w:tab w:val="left" w:pos="680"/>
      </w:tabs>
      <w:spacing w:before="60" w:after="60"/>
      <w:ind w:left="680" w:hanging="340"/>
    </w:pPr>
  </w:style>
  <w:style w:type="character" w:customStyle="1" w:styleId="Heading2Char">
    <w:name w:val="Heading 2 Char"/>
    <w:basedOn w:val="DefaultParagraphFont"/>
    <w:link w:val="Heading2"/>
    <w:rsid w:val="00D65A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5A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5A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5A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5A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5A8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65A8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65A86"/>
    <w:rPr>
      <w:rFonts w:ascii="Courier New" w:eastAsia="Times New Roman" w:hAnsi="Courier New" w:cs="Times New Roman"/>
      <w:i/>
      <w:szCs w:val="20"/>
      <w:lang w:val="en-US" w:eastAsia="en-US"/>
    </w:rPr>
  </w:style>
  <w:style w:type="paragraph" w:customStyle="1" w:styleId="HeadingBase">
    <w:name w:val="Heading Base"/>
    <w:rsid w:val="00D65A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5A86"/>
    <w:pPr>
      <w:tabs>
        <w:tab w:val="right" w:leader="dot" w:pos="9072"/>
      </w:tabs>
      <w:ind w:left="567"/>
    </w:pPr>
    <w:rPr>
      <w:szCs w:val="22"/>
    </w:rPr>
  </w:style>
  <w:style w:type="paragraph" w:customStyle="1" w:styleId="TOCBase">
    <w:name w:val="TOC Base"/>
    <w:rsid w:val="00D65A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5A86"/>
    <w:pPr>
      <w:tabs>
        <w:tab w:val="right" w:leader="dot" w:pos="9072"/>
      </w:tabs>
      <w:spacing w:before="40" w:after="40"/>
      <w:ind w:left="284"/>
    </w:pPr>
    <w:rPr>
      <w:rFonts w:ascii="Times New Roman" w:hAnsi="Times New Roman"/>
    </w:rPr>
  </w:style>
  <w:style w:type="paragraph" w:styleId="TOC1">
    <w:name w:val="toc 1"/>
    <w:basedOn w:val="TOCBase"/>
    <w:next w:val="Normal"/>
    <w:rsid w:val="00D65A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5A86"/>
    <w:pPr>
      <w:spacing w:before="5040"/>
      <w:jc w:val="center"/>
    </w:pPr>
    <w:rPr>
      <w:sz w:val="48"/>
      <w:szCs w:val="72"/>
      <w:lang w:val="en-US"/>
    </w:rPr>
  </w:style>
  <w:style w:type="character" w:customStyle="1" w:styleId="TitleChar">
    <w:name w:val="Title Char"/>
    <w:basedOn w:val="DefaultParagraphFont"/>
    <w:link w:val="Title"/>
    <w:rsid w:val="00D65A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5A86"/>
    <w:pPr>
      <w:tabs>
        <w:tab w:val="left" w:pos="3600"/>
        <w:tab w:val="left" w:pos="3958"/>
      </w:tabs>
    </w:pPr>
  </w:style>
  <w:style w:type="paragraph" w:customStyle="1" w:styleId="Note">
    <w:name w:val="Note"/>
    <w:basedOn w:val="BodyText"/>
    <w:rsid w:val="00D65A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5A86"/>
    <w:pPr>
      <w:framePr w:wrap="auto" w:hAnchor="text" w:y="6049"/>
    </w:pPr>
    <w:rPr>
      <w:color w:val="000000"/>
      <w:sz w:val="40"/>
    </w:rPr>
  </w:style>
  <w:style w:type="paragraph" w:customStyle="1" w:styleId="TOCTitle">
    <w:name w:val="TOCTitle"/>
    <w:basedOn w:val="Heading1"/>
    <w:rsid w:val="00D65A86"/>
    <w:pPr>
      <w:spacing w:after="240"/>
      <w:jc w:val="center"/>
      <w:outlineLvl w:val="9"/>
    </w:pPr>
    <w:rPr>
      <w:caps/>
    </w:rPr>
  </w:style>
  <w:style w:type="paragraph" w:customStyle="1" w:styleId="Version">
    <w:name w:val="Version"/>
    <w:rsid w:val="00D65A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5A86"/>
    <w:pPr>
      <w:keepNext w:val="0"/>
      <w:tabs>
        <w:tab w:val="right" w:pos="4176"/>
      </w:tabs>
      <w:ind w:left="198" w:hanging="198"/>
    </w:pPr>
    <w:rPr>
      <w:rFonts w:ascii="Garamond" w:hAnsi="Garamond"/>
    </w:rPr>
  </w:style>
  <w:style w:type="paragraph" w:styleId="IndexHeading">
    <w:name w:val="index heading"/>
    <w:basedOn w:val="Normal"/>
    <w:next w:val="Index1"/>
    <w:semiHidden/>
    <w:rsid w:val="00D65A86"/>
    <w:pPr>
      <w:spacing w:before="120" w:after="120"/>
    </w:pPr>
    <w:rPr>
      <w:rFonts w:ascii="Arial" w:hAnsi="Arial"/>
      <w:b/>
      <w:color w:val="918585"/>
      <w:sz w:val="24"/>
    </w:rPr>
  </w:style>
  <w:style w:type="paragraph" w:customStyle="1" w:styleId="Chapter">
    <w:name w:val="Chapter"/>
    <w:basedOn w:val="Normal"/>
    <w:rsid w:val="00D65A86"/>
    <w:pPr>
      <w:spacing w:before="240"/>
    </w:pPr>
    <w:rPr>
      <w:rFonts w:ascii="Times New Roman" w:hAnsi="Times New Roman"/>
      <w:smallCaps/>
      <w:spacing w:val="80"/>
      <w:sz w:val="28"/>
    </w:rPr>
  </w:style>
  <w:style w:type="paragraph" w:customStyle="1" w:styleId="InChapter">
    <w:name w:val="InChapter"/>
    <w:basedOn w:val="Heading3"/>
    <w:rsid w:val="00D65A86"/>
    <w:pPr>
      <w:spacing w:after="240"/>
      <w:outlineLvl w:val="9"/>
    </w:pPr>
    <w:rPr>
      <w:noProof/>
    </w:rPr>
  </w:style>
  <w:style w:type="paragraph" w:styleId="Index2">
    <w:name w:val="index 2"/>
    <w:basedOn w:val="Normal"/>
    <w:next w:val="Normal"/>
    <w:semiHidden/>
    <w:rsid w:val="00D65A86"/>
    <w:pPr>
      <w:tabs>
        <w:tab w:val="right" w:pos="4176"/>
      </w:tabs>
      <w:ind w:left="568" w:hanging="284"/>
    </w:pPr>
    <w:rPr>
      <w:rFonts w:ascii="Garamond" w:hAnsi="Garamond"/>
    </w:rPr>
  </w:style>
  <w:style w:type="paragraph" w:customStyle="1" w:styleId="Byline">
    <w:name w:val="Byline"/>
    <w:rsid w:val="00D65A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5A86"/>
    <w:pPr>
      <w:tabs>
        <w:tab w:val="clear" w:pos="3600"/>
        <w:tab w:val="clear" w:pos="3958"/>
      </w:tabs>
      <w:jc w:val="right"/>
    </w:pPr>
  </w:style>
  <w:style w:type="paragraph" w:styleId="Caption">
    <w:name w:val="caption"/>
    <w:basedOn w:val="BodyText"/>
    <w:next w:val="Normal"/>
    <w:qFormat/>
    <w:rsid w:val="00D65A86"/>
    <w:pPr>
      <w:framePr w:w="2268" w:hSpace="181" w:vSpace="181" w:wrap="around" w:vAnchor="text" w:hAnchor="page" w:x="1135" w:y="285" w:anchorLock="1"/>
    </w:pPr>
    <w:rPr>
      <w:i/>
    </w:rPr>
  </w:style>
  <w:style w:type="paragraph" w:customStyle="1" w:styleId="MiniTOCTitle">
    <w:name w:val="MiniTOCTitle"/>
    <w:basedOn w:val="Heading4"/>
    <w:rsid w:val="00D65A86"/>
    <w:pPr>
      <w:spacing w:before="240"/>
      <w:outlineLvl w:val="9"/>
    </w:pPr>
    <w:rPr>
      <w:noProof/>
      <w:sz w:val="24"/>
    </w:rPr>
  </w:style>
  <w:style w:type="paragraph" w:customStyle="1" w:styleId="MiniTOCItem">
    <w:name w:val="MiniTOCItem"/>
    <w:basedOn w:val="ListBullet"/>
    <w:rsid w:val="00D65A86"/>
    <w:pPr>
      <w:numPr>
        <w:numId w:val="0"/>
      </w:numPr>
      <w:tabs>
        <w:tab w:val="right" w:leader="dot" w:pos="6521"/>
      </w:tabs>
      <w:spacing w:before="0" w:after="0"/>
    </w:pPr>
  </w:style>
  <w:style w:type="paragraph" w:customStyle="1" w:styleId="TOFTitle">
    <w:name w:val="TOFTitle"/>
    <w:basedOn w:val="TOCTitle"/>
    <w:rsid w:val="00D65A86"/>
  </w:style>
  <w:style w:type="paragraph" w:styleId="TableofFigures">
    <w:name w:val="table of figures"/>
    <w:basedOn w:val="Normal"/>
    <w:next w:val="Normal"/>
    <w:semiHidden/>
    <w:rsid w:val="00D65A86"/>
    <w:pPr>
      <w:tabs>
        <w:tab w:val="right" w:leader="dot" w:pos="9072"/>
      </w:tabs>
      <w:ind w:left="970" w:hanging="403"/>
    </w:pPr>
    <w:rPr>
      <w:rFonts w:ascii="Times New Roman" w:hAnsi="Times New Roman"/>
      <w:b/>
    </w:rPr>
  </w:style>
  <w:style w:type="paragraph" w:styleId="ListNumber">
    <w:name w:val="List Number"/>
    <w:basedOn w:val="List"/>
    <w:rsid w:val="00D65A86"/>
    <w:pPr>
      <w:numPr>
        <w:numId w:val="11"/>
      </w:numPr>
    </w:pPr>
  </w:style>
  <w:style w:type="character" w:customStyle="1" w:styleId="WingdingSymbols">
    <w:name w:val="Wingding Symbols"/>
    <w:rsid w:val="00D65A86"/>
    <w:rPr>
      <w:rFonts w:ascii="Wingdings" w:hAnsi="Wingdings"/>
    </w:rPr>
  </w:style>
  <w:style w:type="paragraph" w:customStyle="1" w:styleId="TableHeading">
    <w:name w:val="Table Heading"/>
    <w:basedOn w:val="HeadingBase"/>
    <w:rsid w:val="00D65A86"/>
    <w:pPr>
      <w:keepLines/>
      <w:pBdr>
        <w:bottom w:val="single" w:sz="6" w:space="1" w:color="918585"/>
      </w:pBdr>
      <w:spacing w:before="240"/>
    </w:pPr>
  </w:style>
  <w:style w:type="character" w:customStyle="1" w:styleId="HotSpot">
    <w:name w:val="HotSpot"/>
    <w:rsid w:val="00D65A86"/>
    <w:rPr>
      <w:color w:val="0033CC"/>
      <w:u w:val="none"/>
    </w:rPr>
  </w:style>
  <w:style w:type="paragraph" w:customStyle="1" w:styleId="BodyTextRight">
    <w:name w:val="Body Text Right"/>
    <w:basedOn w:val="BodyText"/>
    <w:rsid w:val="00D65A86"/>
    <w:pPr>
      <w:spacing w:before="0" w:after="0"/>
      <w:jc w:val="right"/>
    </w:pPr>
  </w:style>
  <w:style w:type="paragraph" w:styleId="Index3">
    <w:name w:val="index 3"/>
    <w:basedOn w:val="ListNumber2"/>
    <w:next w:val="Normal"/>
    <w:semiHidden/>
    <w:rsid w:val="00D65A86"/>
    <w:pPr>
      <w:numPr>
        <w:numId w:val="0"/>
      </w:numPr>
      <w:tabs>
        <w:tab w:val="right" w:leader="dot" w:pos="4176"/>
      </w:tabs>
    </w:pPr>
  </w:style>
  <w:style w:type="paragraph" w:styleId="ListNumber2">
    <w:name w:val="List Number 2"/>
    <w:basedOn w:val="List2"/>
    <w:rsid w:val="00D65A86"/>
    <w:pPr>
      <w:numPr>
        <w:numId w:val="10"/>
      </w:numPr>
      <w:tabs>
        <w:tab w:val="clear" w:pos="1060"/>
      </w:tabs>
    </w:pPr>
  </w:style>
  <w:style w:type="paragraph" w:customStyle="1" w:styleId="MarginNote">
    <w:name w:val="Margin Note"/>
    <w:basedOn w:val="BodyText"/>
    <w:rsid w:val="00D65A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5A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5A8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65A86"/>
    <w:rPr>
      <w:sz w:val="32"/>
    </w:rPr>
  </w:style>
  <w:style w:type="paragraph" w:customStyle="1" w:styleId="HeadingProcedure">
    <w:name w:val="Heading Procedure"/>
    <w:basedOn w:val="HeadingBase"/>
    <w:next w:val="Normal"/>
    <w:rsid w:val="00D65A86"/>
    <w:pPr>
      <w:tabs>
        <w:tab w:val="left" w:pos="0"/>
      </w:tabs>
      <w:spacing w:before="120" w:after="60"/>
    </w:pPr>
    <w:rPr>
      <w:i/>
      <w:color w:val="918585"/>
      <w:sz w:val="22"/>
    </w:rPr>
  </w:style>
  <w:style w:type="paragraph" w:customStyle="1" w:styleId="TableBodyText">
    <w:name w:val="Table Body Text"/>
    <w:basedOn w:val="BodyText"/>
    <w:rsid w:val="00D65A86"/>
    <w:pPr>
      <w:spacing w:before="60" w:after="60"/>
    </w:pPr>
  </w:style>
  <w:style w:type="paragraph" w:styleId="ListContinue">
    <w:name w:val="List Continue"/>
    <w:basedOn w:val="List"/>
    <w:rsid w:val="00D65A86"/>
    <w:pPr>
      <w:ind w:firstLine="0"/>
    </w:pPr>
  </w:style>
  <w:style w:type="paragraph" w:customStyle="1" w:styleId="ListNote">
    <w:name w:val="List Note"/>
    <w:basedOn w:val="List"/>
    <w:rsid w:val="00D65A86"/>
    <w:pPr>
      <w:pBdr>
        <w:top w:val="single" w:sz="6" w:space="2" w:color="918585"/>
        <w:bottom w:val="single" w:sz="6" w:space="2" w:color="918585"/>
      </w:pBdr>
      <w:tabs>
        <w:tab w:val="left" w:pos="1021"/>
      </w:tabs>
      <w:ind w:firstLine="0"/>
    </w:pPr>
  </w:style>
  <w:style w:type="paragraph" w:customStyle="1" w:styleId="Warning">
    <w:name w:val="Warning"/>
    <w:basedOn w:val="BodyText"/>
    <w:rsid w:val="00D65A86"/>
    <w:pPr>
      <w:shd w:val="clear" w:color="auto" w:fill="D9D9D9"/>
      <w:tabs>
        <w:tab w:val="left" w:pos="992"/>
      </w:tabs>
      <w:ind w:left="119" w:right="119"/>
    </w:pPr>
    <w:rPr>
      <w:sz w:val="20"/>
    </w:rPr>
  </w:style>
  <w:style w:type="paragraph" w:customStyle="1" w:styleId="MarginIcons">
    <w:name w:val="Margin Icons"/>
    <w:basedOn w:val="BodyText"/>
    <w:rsid w:val="00D65A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5A86"/>
    <w:rPr>
      <w:rFonts w:ascii="Courier New" w:hAnsi="Courier New"/>
    </w:rPr>
  </w:style>
  <w:style w:type="paragraph" w:customStyle="1" w:styleId="NoteBullet">
    <w:name w:val="Note Bullet"/>
    <w:basedOn w:val="Note"/>
    <w:rsid w:val="00D65A86"/>
    <w:pPr>
      <w:tabs>
        <w:tab w:val="clear" w:pos="680"/>
      </w:tabs>
      <w:spacing w:before="60" w:after="60"/>
    </w:pPr>
  </w:style>
  <w:style w:type="paragraph" w:customStyle="1" w:styleId="SubHeading2">
    <w:name w:val="SubHeading2"/>
    <w:basedOn w:val="HeadingBase"/>
    <w:rsid w:val="00D65A86"/>
    <w:pPr>
      <w:spacing w:before="240" w:after="60"/>
    </w:pPr>
    <w:rPr>
      <w:sz w:val="20"/>
    </w:rPr>
  </w:style>
  <w:style w:type="paragraph" w:customStyle="1" w:styleId="SubHeading1">
    <w:name w:val="SubHeading1"/>
    <w:basedOn w:val="HeadingBase"/>
    <w:rsid w:val="00D65A86"/>
    <w:pPr>
      <w:spacing w:before="240" w:after="60"/>
    </w:pPr>
    <w:rPr>
      <w:color w:val="918585"/>
      <w:sz w:val="22"/>
    </w:rPr>
  </w:style>
  <w:style w:type="paragraph" w:customStyle="1" w:styleId="SideHeading">
    <w:name w:val="Side Heading"/>
    <w:basedOn w:val="HeadingBase"/>
    <w:rsid w:val="00D65A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5A86"/>
    <w:pPr>
      <w:numPr>
        <w:numId w:val="12"/>
      </w:numPr>
    </w:pPr>
  </w:style>
  <w:style w:type="paragraph" w:styleId="PlainText">
    <w:name w:val="Plain Text"/>
    <w:basedOn w:val="Normal"/>
    <w:link w:val="PlainTextChar"/>
    <w:rsid w:val="00D65A86"/>
    <w:rPr>
      <w:sz w:val="20"/>
    </w:rPr>
  </w:style>
  <w:style w:type="character" w:customStyle="1" w:styleId="PlainTextChar">
    <w:name w:val="Plain Text Char"/>
    <w:basedOn w:val="DefaultParagraphFont"/>
    <w:link w:val="PlainText"/>
    <w:rsid w:val="00D65A8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65A86"/>
    <w:rPr>
      <w:b/>
      <w:smallCaps/>
    </w:rPr>
  </w:style>
  <w:style w:type="paragraph" w:customStyle="1" w:styleId="TableListNumber">
    <w:name w:val="Table List Number"/>
    <w:basedOn w:val="ListNumber"/>
    <w:rsid w:val="00D65A86"/>
    <w:pPr>
      <w:numPr>
        <w:numId w:val="0"/>
      </w:numPr>
    </w:pPr>
  </w:style>
  <w:style w:type="paragraph" w:styleId="TOC4">
    <w:name w:val="toc 4"/>
    <w:basedOn w:val="TOCBase"/>
    <w:next w:val="Normal"/>
    <w:semiHidden/>
    <w:rsid w:val="00D65A86"/>
    <w:pPr>
      <w:tabs>
        <w:tab w:val="right" w:leader="dot" w:pos="9071"/>
      </w:tabs>
      <w:ind w:left="1701"/>
    </w:pPr>
  </w:style>
  <w:style w:type="paragraph" w:customStyle="1" w:styleId="ListAlpha">
    <w:name w:val="List Alpha"/>
    <w:basedOn w:val="List"/>
    <w:rsid w:val="00D65A86"/>
    <w:pPr>
      <w:numPr>
        <w:numId w:val="9"/>
      </w:numPr>
    </w:pPr>
  </w:style>
  <w:style w:type="paragraph" w:customStyle="1" w:styleId="ListAlpha2">
    <w:name w:val="List Alpha 2"/>
    <w:basedOn w:val="List2"/>
    <w:rsid w:val="00D65A86"/>
    <w:pPr>
      <w:numPr>
        <w:numId w:val="8"/>
      </w:numPr>
    </w:pPr>
  </w:style>
  <w:style w:type="paragraph" w:styleId="List3">
    <w:name w:val="List 3"/>
    <w:basedOn w:val="BodyText"/>
    <w:rsid w:val="00D65A86"/>
    <w:pPr>
      <w:tabs>
        <w:tab w:val="left" w:pos="1021"/>
      </w:tabs>
      <w:spacing w:before="60" w:after="60"/>
      <w:ind w:left="1020" w:hanging="340"/>
    </w:pPr>
  </w:style>
  <w:style w:type="paragraph" w:styleId="List4">
    <w:name w:val="List 4"/>
    <w:basedOn w:val="BodyText"/>
    <w:rsid w:val="00D65A86"/>
    <w:pPr>
      <w:tabs>
        <w:tab w:val="left" w:pos="1361"/>
      </w:tabs>
      <w:spacing w:before="60" w:after="60"/>
      <w:ind w:left="1361" w:hanging="340"/>
    </w:pPr>
  </w:style>
  <w:style w:type="paragraph" w:styleId="List5">
    <w:name w:val="List 5"/>
    <w:basedOn w:val="BodyText"/>
    <w:rsid w:val="00D65A86"/>
    <w:pPr>
      <w:tabs>
        <w:tab w:val="left" w:pos="1701"/>
      </w:tabs>
      <w:spacing w:before="60" w:after="60"/>
      <w:ind w:left="1701" w:hanging="340"/>
    </w:pPr>
  </w:style>
  <w:style w:type="paragraph" w:styleId="ListBullet3">
    <w:name w:val="List Bullet 3"/>
    <w:basedOn w:val="List3"/>
    <w:rsid w:val="00D65A86"/>
    <w:pPr>
      <w:numPr>
        <w:numId w:val="15"/>
      </w:numPr>
      <w:tabs>
        <w:tab w:val="clear" w:pos="1021"/>
      </w:tabs>
      <w:ind w:left="1037" w:hanging="357"/>
    </w:pPr>
  </w:style>
  <w:style w:type="paragraph" w:styleId="ListBullet4">
    <w:name w:val="List Bullet 4"/>
    <w:basedOn w:val="List4"/>
    <w:rsid w:val="00D65A86"/>
    <w:pPr>
      <w:numPr>
        <w:numId w:val="3"/>
      </w:numPr>
    </w:pPr>
  </w:style>
  <w:style w:type="paragraph" w:styleId="ListBullet5">
    <w:name w:val="List Bullet 5"/>
    <w:basedOn w:val="List5"/>
    <w:rsid w:val="00D65A86"/>
    <w:pPr>
      <w:numPr>
        <w:numId w:val="4"/>
      </w:numPr>
    </w:pPr>
  </w:style>
  <w:style w:type="paragraph" w:styleId="ListContinue2">
    <w:name w:val="List Continue 2"/>
    <w:basedOn w:val="List2"/>
    <w:rsid w:val="00D65A86"/>
    <w:pPr>
      <w:ind w:firstLine="0"/>
    </w:pPr>
  </w:style>
  <w:style w:type="paragraph" w:styleId="ListContinue3">
    <w:name w:val="List Continue 3"/>
    <w:basedOn w:val="List3"/>
    <w:rsid w:val="00D65A86"/>
    <w:pPr>
      <w:ind w:left="1021" w:firstLine="0"/>
    </w:pPr>
  </w:style>
  <w:style w:type="paragraph" w:styleId="ListContinue4">
    <w:name w:val="List Continue 4"/>
    <w:basedOn w:val="List4"/>
    <w:rsid w:val="00D65A86"/>
    <w:pPr>
      <w:ind w:firstLine="0"/>
    </w:pPr>
  </w:style>
  <w:style w:type="paragraph" w:styleId="ListContinue5">
    <w:name w:val="List Continue 5"/>
    <w:basedOn w:val="List5"/>
    <w:rsid w:val="00D65A86"/>
    <w:pPr>
      <w:ind w:firstLine="0"/>
    </w:pPr>
  </w:style>
  <w:style w:type="paragraph" w:styleId="ListNumber3">
    <w:name w:val="List Number 3"/>
    <w:basedOn w:val="List3"/>
    <w:rsid w:val="00D65A86"/>
    <w:pPr>
      <w:numPr>
        <w:numId w:val="5"/>
      </w:numPr>
    </w:pPr>
  </w:style>
  <w:style w:type="paragraph" w:styleId="ListNumber4">
    <w:name w:val="List Number 4"/>
    <w:basedOn w:val="List4"/>
    <w:rsid w:val="00D65A86"/>
    <w:pPr>
      <w:numPr>
        <w:numId w:val="6"/>
      </w:numPr>
    </w:pPr>
  </w:style>
  <w:style w:type="paragraph" w:styleId="ListNumber5">
    <w:name w:val="List Number 5"/>
    <w:basedOn w:val="List5"/>
    <w:rsid w:val="00D65A86"/>
    <w:pPr>
      <w:numPr>
        <w:numId w:val="7"/>
      </w:numPr>
    </w:pPr>
  </w:style>
  <w:style w:type="paragraph" w:styleId="BlockText">
    <w:name w:val="Block Text"/>
    <w:basedOn w:val="Normal"/>
    <w:rsid w:val="00D65A86"/>
    <w:pPr>
      <w:spacing w:after="120"/>
      <w:ind w:left="1440" w:right="1440"/>
    </w:pPr>
  </w:style>
  <w:style w:type="character" w:customStyle="1" w:styleId="Subscript">
    <w:name w:val="Subscript"/>
    <w:basedOn w:val="DefaultParagraphFont"/>
    <w:rsid w:val="00D65A86"/>
    <w:rPr>
      <w:sz w:val="16"/>
      <w:vertAlign w:val="subscript"/>
    </w:rPr>
  </w:style>
  <w:style w:type="character" w:customStyle="1" w:styleId="Superscript">
    <w:name w:val="Superscript"/>
    <w:basedOn w:val="DefaultParagraphFont"/>
    <w:rsid w:val="00D65A86"/>
    <w:rPr>
      <w:sz w:val="16"/>
      <w:vertAlign w:val="superscript"/>
    </w:rPr>
  </w:style>
  <w:style w:type="character" w:customStyle="1" w:styleId="Symbols">
    <w:name w:val="Symbols"/>
    <w:basedOn w:val="DefaultParagraphFont"/>
    <w:rsid w:val="00D65A86"/>
    <w:rPr>
      <w:rFonts w:ascii="Symbol" w:hAnsi="Symbol"/>
    </w:rPr>
  </w:style>
  <w:style w:type="character" w:customStyle="1" w:styleId="MenuOptions">
    <w:name w:val="Menu Options"/>
    <w:basedOn w:val="DefaultParagraphFont"/>
    <w:rsid w:val="00D65A86"/>
    <w:rPr>
      <w:rFonts w:ascii="Arial Narrow" w:hAnsi="Arial Narrow"/>
      <w:smallCaps/>
    </w:rPr>
  </w:style>
  <w:style w:type="character" w:customStyle="1" w:styleId="Buttons">
    <w:name w:val="Buttons"/>
    <w:basedOn w:val="DefaultParagraphFont"/>
    <w:rsid w:val="00D65A86"/>
    <w:rPr>
      <w:b/>
    </w:rPr>
  </w:style>
  <w:style w:type="character" w:customStyle="1" w:styleId="Underlined">
    <w:name w:val="Underlined"/>
    <w:basedOn w:val="DefaultParagraphFont"/>
    <w:rsid w:val="00D65A86"/>
    <w:rPr>
      <w:u w:val="single"/>
    </w:rPr>
  </w:style>
  <w:style w:type="paragraph" w:customStyle="1" w:styleId="TableBodyTextRight">
    <w:name w:val="Table Body Text Right"/>
    <w:basedOn w:val="TableBodyText"/>
    <w:rsid w:val="00D65A86"/>
    <w:pPr>
      <w:widowControl w:val="0"/>
      <w:autoSpaceDE w:val="0"/>
      <w:autoSpaceDN w:val="0"/>
      <w:adjustRightInd w:val="0"/>
      <w:jc w:val="right"/>
    </w:pPr>
    <w:rPr>
      <w:rFonts w:cs="Arial"/>
      <w:szCs w:val="18"/>
    </w:rPr>
  </w:style>
  <w:style w:type="paragraph" w:customStyle="1" w:styleId="CopyrightText">
    <w:name w:val="Copyright Text"/>
    <w:basedOn w:val="BodyText"/>
    <w:rsid w:val="00D65A86"/>
    <w:rPr>
      <w:sz w:val="18"/>
    </w:rPr>
  </w:style>
  <w:style w:type="paragraph" w:customStyle="1" w:styleId="BodySmallRight">
    <w:name w:val="Body Small Right"/>
    <w:basedOn w:val="BodyTextRight"/>
    <w:rsid w:val="00D65A86"/>
    <w:rPr>
      <w:sz w:val="18"/>
      <w:szCs w:val="18"/>
    </w:rPr>
  </w:style>
  <w:style w:type="paragraph" w:customStyle="1" w:styleId="MarginEdition">
    <w:name w:val="Margin Edition"/>
    <w:basedOn w:val="MarginNote"/>
    <w:rsid w:val="00D65A86"/>
    <w:pPr>
      <w:spacing w:before="0" w:after="0"/>
    </w:pPr>
    <w:rPr>
      <w:rFonts w:ascii="Times New Roman" w:hAnsi="Times New Roman"/>
      <w:color w:val="999999"/>
    </w:rPr>
  </w:style>
  <w:style w:type="paragraph" w:customStyle="1" w:styleId="Spacer">
    <w:name w:val="Spacer"/>
    <w:basedOn w:val="Normal"/>
    <w:rsid w:val="00D65A86"/>
    <w:rPr>
      <w:sz w:val="2"/>
      <w:szCs w:val="2"/>
    </w:rPr>
  </w:style>
  <w:style w:type="character" w:customStyle="1" w:styleId="Small">
    <w:name w:val="Small"/>
    <w:basedOn w:val="DefaultParagraphFont"/>
    <w:rsid w:val="00D65A86"/>
    <w:rPr>
      <w:sz w:val="16"/>
    </w:rPr>
  </w:style>
  <w:style w:type="paragraph" w:customStyle="1" w:styleId="WideTable">
    <w:name w:val="Wide Table"/>
    <w:basedOn w:val="Normal"/>
    <w:rsid w:val="00D65A86"/>
    <w:pPr>
      <w:ind w:left="-1418"/>
    </w:pPr>
    <w:rPr>
      <w:sz w:val="2"/>
      <w:szCs w:val="2"/>
    </w:rPr>
  </w:style>
  <w:style w:type="character" w:styleId="PageNumber">
    <w:name w:val="page number"/>
    <w:basedOn w:val="DefaultParagraphFont"/>
    <w:rsid w:val="00D65A86"/>
  </w:style>
  <w:style w:type="paragraph" w:styleId="Quote">
    <w:name w:val="Quote"/>
    <w:basedOn w:val="Heading1"/>
    <w:link w:val="QuoteChar"/>
    <w:qFormat/>
    <w:rsid w:val="00D65A86"/>
    <w:rPr>
      <w:b w:val="0"/>
      <w:sz w:val="72"/>
      <w:szCs w:val="72"/>
      <w:lang w:val="en-NZ"/>
    </w:rPr>
  </w:style>
  <w:style w:type="character" w:customStyle="1" w:styleId="QuoteChar">
    <w:name w:val="Quote Char"/>
    <w:basedOn w:val="DefaultParagraphFont"/>
    <w:link w:val="Quote"/>
    <w:rsid w:val="00D65A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5A86"/>
    <w:pPr>
      <w:pageBreakBefore/>
    </w:pPr>
  </w:style>
  <w:style w:type="paragraph" w:customStyle="1" w:styleId="Border">
    <w:name w:val="Border"/>
    <w:basedOn w:val="Normal"/>
    <w:qFormat/>
    <w:rsid w:val="00D65A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5A86"/>
    <w:rPr>
      <w:b/>
      <w:bCs/>
      <w:i/>
      <w:iCs/>
      <w:color w:val="auto"/>
    </w:rPr>
  </w:style>
  <w:style w:type="paragraph" w:styleId="IntenseQuote">
    <w:name w:val="Intense Quote"/>
    <w:basedOn w:val="Normal"/>
    <w:next w:val="Normal"/>
    <w:link w:val="IntenseQuoteChar"/>
    <w:uiPriority w:val="30"/>
    <w:qFormat/>
    <w:rsid w:val="00D65A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5A8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65A86"/>
    <w:rPr>
      <w:smallCaps/>
      <w:color w:val="auto"/>
      <w:u w:val="single"/>
    </w:rPr>
  </w:style>
  <w:style w:type="character" w:styleId="IntenseReference">
    <w:name w:val="Intense Reference"/>
    <w:basedOn w:val="DefaultParagraphFont"/>
    <w:uiPriority w:val="32"/>
    <w:qFormat/>
    <w:rsid w:val="00D65A86"/>
    <w:rPr>
      <w:b/>
      <w:bCs/>
      <w:smallCaps/>
      <w:color w:val="auto"/>
      <w:spacing w:val="5"/>
      <w:u w:val="single"/>
    </w:rPr>
  </w:style>
  <w:style w:type="paragraph" w:customStyle="1" w:styleId="2ColumnHeading">
    <w:name w:val="2Column Heading"/>
    <w:basedOn w:val="BodyText"/>
    <w:qFormat/>
    <w:rsid w:val="00D65A86"/>
    <w:pPr>
      <w:spacing w:after="60"/>
      <w:ind w:left="-2268"/>
    </w:pPr>
    <w:rPr>
      <w:b/>
    </w:rPr>
  </w:style>
  <w:style w:type="paragraph" w:customStyle="1" w:styleId="Heading1TOC">
    <w:name w:val="Heading1 TOC"/>
    <w:basedOn w:val="Normal"/>
    <w:qFormat/>
    <w:rsid w:val="00D65A86"/>
    <w:pPr>
      <w:spacing w:before="240" w:after="120"/>
    </w:pPr>
    <w:rPr>
      <w:rFonts w:ascii="Times New Roman" w:hAnsi="Times New Roman"/>
      <w:b/>
      <w:sz w:val="32"/>
    </w:rPr>
  </w:style>
  <w:style w:type="paragraph" w:customStyle="1" w:styleId="Heading2TOC">
    <w:name w:val="Heading2 TOC"/>
    <w:basedOn w:val="Normal"/>
    <w:qFormat/>
    <w:rsid w:val="00D65A86"/>
    <w:pPr>
      <w:spacing w:before="240" w:after="60"/>
    </w:pPr>
    <w:rPr>
      <w:rFonts w:ascii="Times New Roman" w:hAnsi="Times New Roman"/>
      <w:b/>
      <w:sz w:val="28"/>
    </w:rPr>
  </w:style>
  <w:style w:type="character" w:customStyle="1" w:styleId="Underline">
    <w:name w:val="Underline"/>
    <w:basedOn w:val="DefaultParagraphFont"/>
    <w:qFormat/>
    <w:rsid w:val="00D65A86"/>
    <w:rPr>
      <w:u w:val="single"/>
    </w:rPr>
  </w:style>
  <w:style w:type="character" w:customStyle="1" w:styleId="BoldandItalics">
    <w:name w:val="Bold and Italics"/>
    <w:qFormat/>
    <w:rsid w:val="00D65A86"/>
    <w:rPr>
      <w:b/>
      <w:i/>
      <w:u w:val="none"/>
    </w:rPr>
  </w:style>
  <w:style w:type="paragraph" w:styleId="BalloonText">
    <w:name w:val="Balloon Text"/>
    <w:basedOn w:val="Normal"/>
    <w:link w:val="BalloonTextChar"/>
    <w:rsid w:val="00D65A86"/>
    <w:rPr>
      <w:rFonts w:ascii="Tahoma" w:hAnsi="Tahoma" w:cs="Tahoma"/>
      <w:sz w:val="16"/>
      <w:szCs w:val="16"/>
    </w:rPr>
  </w:style>
  <w:style w:type="character" w:customStyle="1" w:styleId="BalloonTextChar">
    <w:name w:val="Balloon Text Char"/>
    <w:basedOn w:val="DefaultParagraphFont"/>
    <w:link w:val="BalloonText"/>
    <w:rsid w:val="00D65A8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65A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5A8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1336</Words>
  <Characters>8460</Characters>
  <Application>Microsoft Office Word</Application>
  <DocSecurity>0</DocSecurity>
  <Lines>306</Lines>
  <Paragraphs>157</Paragraphs>
  <ScaleCrop>false</ScaleCrop>
  <Company>Author-it Software Corporation Ltd.</Company>
  <LinksUpToDate>false</LinksUpToDate>
  <CharactersWithSpaces>9701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PMC552041C Operate process ovens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2012-05-26T19:09:00Z</dcterms:created>
  <dcterms:modified xsi:type="dcterms:W3CDTF">2012-05-26T19:09:00Z</dcterms:modified>
</cp:coreProperties>
</file>