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BAE" w:rsidP="00F62BAE">
      <w:pPr>
        <w:pStyle w:val="Title"/>
      </w:pPr>
      <w:r>
        <w:fldChar w:fldCharType="begin"/>
      </w:r>
      <w:r>
        <w:instrText xml:space="preserve"> TITLE   \* MERGEFORMAT </w:instrText>
      </w:r>
      <w:r>
        <w:fldChar w:fldCharType="separate"/>
      </w:r>
      <w:r>
        <w:t>PMC552007B Heat accelerate the curing of precast concrete</w:t>
      </w:r>
      <w:r>
        <w:fldChar w:fldCharType="end"/>
      </w:r>
    </w:p>
    <w:p w:rsidR="00F62BAE" w:rsidP="00F62BAE">
      <w:pPr>
        <w:pStyle w:val="Version"/>
        <w:sectPr w:rsidSect="005E0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0AF6" w:rsidP="005E0AF6">
      <w:pPr>
        <w:pStyle w:val="SuperHeading"/>
      </w:pPr>
      <w:r w:rsidRPr="005E0AF6">
        <w:t>PMC552007B Heat accelerate the curing of precast concrete</w:t>
      </w:r>
    </w:p>
    <w:p w:rsidR="00000000" w:rsidRPr="005E0AF6" w:rsidP="005E0AF6">
      <w:pPr>
        <w:pStyle w:val="SuperHeading"/>
      </w:pPr>
    </w:p>
    <w:p w:rsidR="00000000" w:rsidRPr="005E0AF6" w:rsidP="005E0AF6">
      <w:pPr>
        <w:pStyle w:val="Heading1"/>
      </w:pPr>
      <w:bookmarkStart w:id="1" w:name="O_110019"/>
      <w:bookmarkEnd w:id="1"/>
      <w:r w:rsidRPr="005E0AF6">
        <w:t>Modification History</w:t>
      </w:r>
    </w:p>
    <w:p w:rsidR="00000000" w:rsidRPr="005E0AF6" w:rsidP="005E0AF6">
      <w:pPr>
        <w:pStyle w:val="BodyText"/>
      </w:pPr>
      <w:r w:rsidRPr="005E0AF6">
        <w:t>Not applicable.</w:t>
      </w:r>
    </w:p>
    <w:p w:rsidR="00000000" w:rsidRPr="005E0AF6" w:rsidP="005E0AF6">
      <w:pPr>
        <w:pStyle w:val="AllowPageBreak"/>
      </w:pPr>
    </w:p>
    <w:p w:rsidR="00000000" w:rsidRPr="005E0AF6" w:rsidP="005E0AF6">
      <w:pPr>
        <w:pStyle w:val="Heading1"/>
      </w:pPr>
      <w:bookmarkStart w:id="2" w:name="O_110020"/>
      <w:bookmarkEnd w:id="2"/>
      <w:r w:rsidRPr="005E0AF6">
        <w:t>Unit Descriptor</w:t>
      </w:r>
    </w:p>
    <w:tbl>
      <w:tblPr>
        <w:tblW w:w="0" w:type="auto"/>
        <w:tblLayout w:type="fixed"/>
        <w:tblCellMar>
          <w:left w:w="62" w:type="dxa"/>
          <w:right w:w="62" w:type="dxa"/>
        </w:tblCellMar>
        <w:tblLook w:val="0000"/>
      </w:tblPr>
      <w:tblGrid>
        <w:gridCol w:w="2668"/>
        <w:gridCol w:w="5854"/>
      </w:tblGrid>
      <w:tr w:rsidTr="00F62BA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This unit of competency covers high and low pressure steam curing of precast concrete pipes</w:t>
            </w:r>
            <w:r w:rsidRPr="005E0AF6">
              <w:t xml:space="preserve"> and other concrete products. It involves preparing, operating and monitoring equipment, resolving routine problems and preparing equipment for maintenance. </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3" w:name="O_110021"/>
      <w:bookmarkEnd w:id="3"/>
      <w:r w:rsidRPr="005E0AF6">
        <w:t>Application of the Unit</w:t>
      </w:r>
    </w:p>
    <w:tbl>
      <w:tblPr>
        <w:tblW w:w="0" w:type="auto"/>
        <w:tblLayout w:type="fixed"/>
        <w:tblCellMar>
          <w:left w:w="62" w:type="dxa"/>
          <w:right w:w="62" w:type="dxa"/>
        </w:tblCellMar>
        <w:tblLook w:val="0000"/>
      </w:tblPr>
      <w:tblGrid>
        <w:gridCol w:w="2752"/>
        <w:gridCol w:w="5770"/>
      </w:tblGrid>
      <w:tr w:rsidTr="00F62BA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This unit of competency applies to operators who are responsible for steam curing of precast concrete pipes and other concrete products. This unit of competency also includes operation of all ancillary equipment.</w:t>
            </w:r>
          </w:p>
          <w:p w:rsidR="00000000" w:rsidRPr="005E0AF6" w:rsidP="005E0AF6">
            <w:pPr>
              <w:pStyle w:val="BodyText"/>
            </w:pPr>
            <w:r w:rsidRPr="005E0AF6">
              <w:t>This unit of competency is typically perfor</w:t>
            </w:r>
            <w:r w:rsidRPr="005E0AF6">
              <w:t>med by operators working either independently or as part of a work team.</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4" w:name="O_110022"/>
      <w:bookmarkEnd w:id="4"/>
      <w:r w:rsidRPr="005E0AF6">
        <w:t>Licensing/Regulatory Information</w:t>
      </w:r>
    </w:p>
    <w:p w:rsidR="00000000" w:rsidRPr="005E0AF6" w:rsidP="005E0AF6">
      <w:pPr>
        <w:pStyle w:val="BodyText"/>
      </w:pPr>
      <w:r w:rsidRPr="005E0AF6">
        <w:t>Not applicable.</w:t>
      </w:r>
    </w:p>
    <w:p w:rsidR="00000000" w:rsidRPr="005E0AF6" w:rsidP="005E0AF6">
      <w:pPr>
        <w:pStyle w:val="AllowPageBreak"/>
      </w:pPr>
    </w:p>
    <w:p w:rsidR="00000000" w:rsidRPr="005E0AF6" w:rsidP="005E0AF6">
      <w:pPr>
        <w:pStyle w:val="Heading1"/>
      </w:pPr>
      <w:bookmarkStart w:id="5" w:name="O_110024"/>
      <w:bookmarkEnd w:id="5"/>
      <w:r w:rsidRPr="005E0AF6">
        <w:t>Pre-Requisites</w:t>
      </w:r>
    </w:p>
    <w:tbl>
      <w:tblPr>
        <w:tblW w:w="0" w:type="auto"/>
        <w:tblLayout w:type="fixed"/>
        <w:tblCellMar>
          <w:left w:w="62" w:type="dxa"/>
          <w:right w:w="62" w:type="dxa"/>
        </w:tblCellMar>
        <w:tblLook w:val="0000"/>
      </w:tblPr>
      <w:tblGrid>
        <w:gridCol w:w="2775"/>
        <w:gridCol w:w="1295"/>
        <w:gridCol w:w="4452"/>
      </w:tblGrid>
      <w:tr w:rsidTr="00F62B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p>
        </w:tc>
      </w:tr>
      <w:tr w:rsidTr="00F62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p>
        </w:tc>
      </w:tr>
      <w:tr w:rsidTr="00F62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6" w:name="O_110023"/>
      <w:bookmarkEnd w:id="6"/>
      <w:r w:rsidRPr="005E0AF6">
        <w:t>Employability Skills Information</w:t>
      </w:r>
    </w:p>
    <w:tbl>
      <w:tblPr>
        <w:tblW w:w="0" w:type="auto"/>
        <w:tblLayout w:type="fixed"/>
        <w:tblCellMar>
          <w:left w:w="62" w:type="dxa"/>
          <w:right w:w="62" w:type="dxa"/>
        </w:tblCellMar>
        <w:tblLook w:val="0000"/>
      </w:tblPr>
      <w:tblGrid>
        <w:gridCol w:w="2802"/>
        <w:gridCol w:w="5720"/>
      </w:tblGrid>
      <w:tr w:rsidTr="00F62B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This unit contains employability skills.</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7" w:name="O_110025"/>
      <w:bookmarkEnd w:id="7"/>
      <w:r w:rsidRPr="005E0AF6">
        <w:t>Elements and Performance Criteria Pre-Content</w:t>
      </w:r>
    </w:p>
    <w:tbl>
      <w:tblPr>
        <w:tblW w:w="0" w:type="auto"/>
        <w:tblLayout w:type="fixed"/>
        <w:tblCellMar>
          <w:left w:w="62" w:type="dxa"/>
          <w:right w:w="62" w:type="dxa"/>
        </w:tblCellMar>
        <w:tblLook w:val="0000"/>
      </w:tblPr>
      <w:tblGrid>
        <w:gridCol w:w="2563"/>
        <w:gridCol w:w="5959"/>
      </w:tblGrid>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Performance criteria describe the performance needed to demonstrate achievement of the element. Where bold italicised text is used, further information is detailed in the required skills and knowledge section and the range statement. Assessment of performa</w:t>
            </w:r>
            <w:r w:rsidRPr="005E0AF6">
              <w:t>nce is to be consistent with the evidence guide.</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8" w:name="O_110026"/>
      <w:bookmarkEnd w:id="8"/>
      <w:r w:rsidRPr="005E0AF6">
        <w:t>Elements and Performance Criteria</w:t>
      </w:r>
    </w:p>
    <w:tbl>
      <w:tblPr>
        <w:tblW w:w="0" w:type="auto"/>
        <w:tblLayout w:type="fixed"/>
        <w:tblCellMar>
          <w:left w:w="62" w:type="dxa"/>
          <w:right w:w="62" w:type="dxa"/>
        </w:tblCellMar>
        <w:tblLook w:val="0000"/>
      </w:tblPr>
      <w:tblGrid>
        <w:gridCol w:w="2563"/>
        <w:gridCol w:w="5959"/>
      </w:tblGrid>
      <w:tr w:rsidTr="00F62BAE">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PERFORMANCE CRITERIA</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1.</w:t>
            </w:r>
            <w:r w:rsidRPr="005E0AF6">
              <w:tab/>
              <w:t>Prepare the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1.1.</w:t>
            </w:r>
            <w:r w:rsidRPr="005E0AF6">
              <w:tab/>
              <w:t>Condu</w:t>
            </w:r>
            <w:r w:rsidRPr="005E0AF6">
              <w:t>ct equipment pre-startup procedure and visual checks according to enterprise procedures</w:t>
            </w:r>
          </w:p>
          <w:p w:rsidR="00000000" w:rsidRPr="005E0AF6" w:rsidP="005E0AF6">
            <w:pPr>
              <w:pStyle w:val="List2"/>
            </w:pPr>
            <w:r w:rsidRPr="005E0AF6">
              <w:t>1.2.</w:t>
            </w:r>
            <w:r w:rsidRPr="005E0AF6">
              <w:tab/>
              <w:t>Set up and configure equipment startup function in accordance with procedures/work instructions</w:t>
            </w:r>
          </w:p>
          <w:p w:rsidR="00000000" w:rsidRPr="005E0AF6" w:rsidP="005E0AF6">
            <w:pPr>
              <w:pStyle w:val="List2"/>
            </w:pPr>
            <w:r w:rsidRPr="005E0AF6">
              <w:t>1.3.</w:t>
            </w:r>
            <w:r w:rsidRPr="005E0AF6">
              <w:tab/>
              <w:t>Ensure appropriate presetting period has been observed</w:t>
            </w:r>
          </w:p>
          <w:p w:rsidR="00000000" w:rsidRPr="005E0AF6" w:rsidP="005E0AF6">
            <w:pPr>
              <w:pStyle w:val="List2"/>
            </w:pPr>
            <w:r w:rsidRPr="005E0AF6">
              <w:t>1.4.</w:t>
            </w:r>
            <w:r w:rsidRPr="005E0AF6">
              <w:tab/>
              <w:t>Lo</w:t>
            </w:r>
            <w:r w:rsidRPr="005E0AF6">
              <w:t>ad mould (containing green concrete product) onto transfer car and move to steam chamber in accordance with procedures/work instructions</w:t>
            </w:r>
          </w:p>
          <w:p w:rsidR="00000000" w:rsidRPr="005E0AF6" w:rsidP="005E0AF6">
            <w:pPr>
              <w:pStyle w:val="List2"/>
            </w:pPr>
            <w:r w:rsidRPr="005E0AF6">
              <w:t>1.5.</w:t>
            </w:r>
            <w:r w:rsidRPr="005E0AF6">
              <w:tab/>
              <w:t>Cover mould as specified</w:t>
            </w:r>
          </w:p>
          <w:p w:rsidR="00000000" w:rsidP="005E0AF6">
            <w:pPr>
              <w:pStyle w:val="List2"/>
              <w:rPr>
                <w:lang w:val="en-NZ"/>
              </w:rPr>
            </w:pPr>
            <w:r w:rsidRPr="005E0AF6">
              <w:t>1.6.</w:t>
            </w:r>
            <w:r w:rsidRPr="005E0AF6">
              <w:tab/>
              <w:t>Close and secure the steam chamber in accordance with procedures/work instructions</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2.</w:t>
            </w:r>
            <w:r w:rsidRPr="005E0AF6">
              <w:tab/>
              <w:t>Operate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2.1.</w:t>
            </w:r>
            <w:r w:rsidRPr="005E0AF6">
              <w:tab/>
              <w:t>Start up equipment in accordance with procedures/work instructions</w:t>
            </w:r>
          </w:p>
          <w:p w:rsidR="00000000" w:rsidP="005E0AF6">
            <w:pPr>
              <w:pStyle w:val="List2"/>
              <w:rPr>
                <w:lang w:val="en-NZ"/>
              </w:rPr>
            </w:pPr>
            <w:r w:rsidRPr="005E0AF6">
              <w:t>2.2.</w:t>
            </w:r>
            <w:r w:rsidRPr="005E0AF6">
              <w:tab/>
              <w:t>Ensure equipment is operated in accordance with established enterprise procedures</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3.</w:t>
            </w:r>
            <w:r w:rsidRPr="005E0AF6">
              <w:tab/>
              <w:t>Monitor and record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3.1.</w:t>
            </w:r>
            <w:r w:rsidRPr="005E0AF6">
              <w:tab/>
              <w:t>Monitor equipment performance in accor</w:t>
            </w:r>
            <w:r w:rsidRPr="005E0AF6">
              <w:t>dance with work instructions and manufacturer's specifications</w:t>
            </w:r>
          </w:p>
          <w:p w:rsidR="00000000" w:rsidRPr="005E0AF6" w:rsidP="005E0AF6">
            <w:pPr>
              <w:pStyle w:val="List2"/>
            </w:pPr>
            <w:r w:rsidRPr="005E0AF6">
              <w:t>3.2.</w:t>
            </w:r>
            <w:r w:rsidRPr="005E0AF6">
              <w:tab/>
              <w:t>Monitor operating pressures and temperatures</w:t>
            </w:r>
          </w:p>
          <w:p w:rsidR="00000000" w:rsidRPr="005E0AF6" w:rsidP="005E0AF6">
            <w:pPr>
              <w:pStyle w:val="List2"/>
            </w:pPr>
            <w:r w:rsidRPr="005E0AF6">
              <w:t>3.3.</w:t>
            </w:r>
            <w:r w:rsidRPr="005E0AF6">
              <w:tab/>
              <w:t>Ensure the rate at which the concrete temperature increases is even, and that it doesn't exceed maximum temperature specified</w:t>
            </w:r>
          </w:p>
          <w:p w:rsidR="00000000" w:rsidRPr="005E0AF6" w:rsidP="005E0AF6">
            <w:pPr>
              <w:pStyle w:val="List2"/>
            </w:pPr>
            <w:r w:rsidRPr="005E0AF6">
              <w:t>3.4.</w:t>
            </w:r>
            <w:r w:rsidRPr="005E0AF6">
              <w:tab/>
            </w:r>
            <w:r w:rsidRPr="005E0AF6">
              <w:t>Adjust and control equipment to ensure correct product quality</w:t>
            </w:r>
          </w:p>
          <w:p w:rsidR="00000000" w:rsidP="005E0AF6">
            <w:pPr>
              <w:pStyle w:val="List2"/>
              <w:rPr>
                <w:lang w:val="en-NZ"/>
              </w:rPr>
            </w:pPr>
            <w:r w:rsidRPr="005E0AF6">
              <w:t>3.5.</w:t>
            </w:r>
            <w:r w:rsidRPr="005E0AF6">
              <w:tab/>
              <w:t>Complete appropriate records and logs</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4.</w:t>
            </w:r>
            <w:r w:rsidRPr="005E0AF6">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4.1.</w:t>
            </w:r>
            <w:r w:rsidRPr="005E0AF6">
              <w:tab/>
              <w:t>Identify the range of faults that can occur during the operation</w:t>
            </w:r>
          </w:p>
          <w:p w:rsidR="00000000" w:rsidRPr="005E0AF6" w:rsidP="005E0AF6">
            <w:pPr>
              <w:pStyle w:val="List2"/>
            </w:pPr>
            <w:r w:rsidRPr="005E0AF6">
              <w:t>4.2.</w:t>
            </w:r>
            <w:r w:rsidRPr="005E0AF6">
              <w:tab/>
              <w:t>Determine and rectify fault causes by procedur</w:t>
            </w:r>
            <w:r w:rsidRPr="005E0AF6">
              <w:t>es/work instructions</w:t>
            </w:r>
          </w:p>
          <w:p w:rsidR="00000000" w:rsidRPr="005E0AF6" w:rsidP="005E0AF6">
            <w:pPr>
              <w:pStyle w:val="List2"/>
            </w:pPr>
            <w:r w:rsidRPr="005E0AF6">
              <w:t>4.3.</w:t>
            </w:r>
            <w:r w:rsidRPr="005E0AF6">
              <w:tab/>
              <w:t>Identify and rectify equipment failure causes in accordance with procedures/work instructions</w:t>
            </w:r>
          </w:p>
          <w:p w:rsidR="00000000" w:rsidRPr="005E0AF6" w:rsidP="005E0AF6">
            <w:pPr>
              <w:pStyle w:val="List2"/>
            </w:pPr>
            <w:r w:rsidRPr="005E0AF6">
              <w:t>4.4.</w:t>
            </w:r>
            <w:r w:rsidRPr="005E0AF6">
              <w:tab/>
              <w:t>Ensure appropriate records and log books of equipment operations are maintained to meet procedures/work instructions</w:t>
            </w:r>
          </w:p>
          <w:p w:rsidR="00000000" w:rsidP="005E0AF6">
            <w:pPr>
              <w:pStyle w:val="List2"/>
              <w:rPr>
                <w:lang w:val="en-NZ"/>
              </w:rPr>
            </w:pPr>
            <w:r w:rsidRPr="005E0AF6">
              <w:t>4.5.</w:t>
            </w:r>
            <w:r w:rsidRPr="005E0AF6">
              <w:tab/>
              <w:t xml:space="preserve">Identify </w:t>
            </w:r>
            <w:r w:rsidRPr="005E0AF6">
              <w:t>non-routine problems and report to designated person</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5.</w:t>
            </w:r>
            <w:r w:rsidRPr="005E0AF6">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5.1.</w:t>
            </w:r>
            <w:r w:rsidRPr="005E0AF6">
              <w:tab/>
              <w:t>Shut down steam and depressurise chamber in accordance with work instructions</w:t>
            </w:r>
          </w:p>
          <w:p w:rsidR="00000000" w:rsidRPr="005E0AF6" w:rsidP="005E0AF6">
            <w:pPr>
              <w:pStyle w:val="List2"/>
            </w:pPr>
            <w:r w:rsidRPr="005E0AF6">
              <w:t>5.2.</w:t>
            </w:r>
            <w:r w:rsidRPr="005E0AF6">
              <w:tab/>
              <w:t>Allow product to cool gradually and evenly</w:t>
            </w:r>
          </w:p>
          <w:p w:rsidR="00000000" w:rsidRPr="005E0AF6" w:rsidP="005E0AF6">
            <w:pPr>
              <w:pStyle w:val="List2"/>
            </w:pPr>
            <w:r w:rsidRPr="005E0AF6">
              <w:t>5.3.</w:t>
            </w:r>
            <w:r w:rsidRPr="005E0AF6">
              <w:tab/>
              <w:t>Open the chamber and discharge cured produc</w:t>
            </w:r>
            <w:r w:rsidRPr="005E0AF6">
              <w:t>t</w:t>
            </w:r>
          </w:p>
          <w:p w:rsidR="00000000" w:rsidRPr="005E0AF6" w:rsidP="005E0AF6">
            <w:pPr>
              <w:pStyle w:val="List2"/>
            </w:pPr>
            <w:r w:rsidRPr="005E0AF6">
              <w:t>5.4.</w:t>
            </w:r>
            <w:r w:rsidRPr="005E0AF6">
              <w:tab/>
              <w:t>Complete appropriate records and logs</w:t>
            </w:r>
          </w:p>
          <w:p w:rsidR="00000000" w:rsidRPr="005E0AF6" w:rsidP="005E0AF6">
            <w:pPr>
              <w:pStyle w:val="List2"/>
            </w:pPr>
            <w:r w:rsidRPr="005E0AF6">
              <w:t>5.5.</w:t>
            </w:r>
            <w:r w:rsidRPr="005E0AF6">
              <w:tab/>
              <w:t>Ensure transfer cars are clear of all product and left ready for reuse</w:t>
            </w:r>
          </w:p>
          <w:p w:rsidR="00000000" w:rsidP="005E0AF6">
            <w:pPr>
              <w:pStyle w:val="List2"/>
              <w:rPr>
                <w:lang w:val="en-NZ"/>
              </w:rPr>
            </w:pPr>
            <w:r w:rsidRPr="005E0AF6">
              <w:t>5.6.</w:t>
            </w:r>
            <w:r w:rsidRPr="005E0AF6">
              <w:tab/>
              <w:t>Shut down equipment in an emergency situation</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6.</w:t>
            </w:r>
            <w:r w:rsidRPr="005E0AF6">
              <w:tab/>
              <w:t>Prepare equipment for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6.1.</w:t>
            </w:r>
            <w:r w:rsidRPr="005E0AF6">
              <w:tab/>
              <w:t>Isolate equipment in accorda</w:t>
            </w:r>
            <w:r w:rsidRPr="005E0AF6">
              <w:t>nce with work instructions</w:t>
            </w:r>
          </w:p>
          <w:p w:rsidR="00000000" w:rsidRPr="005E0AF6" w:rsidP="005E0AF6">
            <w:pPr>
              <w:pStyle w:val="List2"/>
            </w:pPr>
            <w:r w:rsidRPr="005E0AF6">
              <w:t>6.2.</w:t>
            </w:r>
            <w:r w:rsidRPr="005E0AF6">
              <w:tab/>
              <w:t>Remove any broken materials safely</w:t>
            </w:r>
          </w:p>
          <w:p w:rsidR="00000000" w:rsidP="005E0AF6">
            <w:pPr>
              <w:pStyle w:val="List2"/>
              <w:rPr>
                <w:lang w:val="en-NZ"/>
              </w:rPr>
            </w:pPr>
            <w:r w:rsidRPr="005E0AF6">
              <w:t>6.3.</w:t>
            </w:r>
            <w:r w:rsidRPr="005E0AF6">
              <w:tab/>
              <w:t>Make sure area is clear and safe for maintenance</w:t>
            </w:r>
          </w:p>
        </w:tc>
      </w:tr>
      <w:tr w:rsidTr="00F62BA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List"/>
              <w:rPr>
                <w:lang w:val="en-NZ"/>
              </w:rPr>
            </w:pPr>
            <w:r w:rsidRPr="005E0AF6">
              <w:t>7.</w:t>
            </w:r>
            <w:r w:rsidRPr="005E0AF6">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List2"/>
            </w:pPr>
            <w:r w:rsidRPr="005E0AF6">
              <w:t>7.1.</w:t>
            </w:r>
            <w:r w:rsidRPr="005E0AF6">
              <w:tab/>
              <w:t>Identify hazards from the job to be done</w:t>
            </w:r>
          </w:p>
          <w:p w:rsidR="00000000" w:rsidRPr="005E0AF6" w:rsidP="005E0AF6">
            <w:pPr>
              <w:pStyle w:val="List2"/>
            </w:pPr>
            <w:r w:rsidRPr="005E0AF6">
              <w:t>7.2.</w:t>
            </w:r>
            <w:r w:rsidRPr="005E0AF6">
              <w:tab/>
              <w:t>Identify other hazards in the work area</w:t>
            </w:r>
          </w:p>
          <w:p w:rsidR="00000000" w:rsidRPr="005E0AF6" w:rsidP="005E0AF6">
            <w:pPr>
              <w:pStyle w:val="List2"/>
            </w:pPr>
            <w:r w:rsidRPr="005E0AF6">
              <w:t>7.3.</w:t>
            </w:r>
            <w:r w:rsidRPr="005E0AF6">
              <w:tab/>
              <w:t>Assess the risks ar</w:t>
            </w:r>
            <w:r w:rsidRPr="005E0AF6">
              <w:t>ising from those hazards</w:t>
            </w:r>
          </w:p>
          <w:p w:rsidR="00000000" w:rsidRPr="005E0AF6" w:rsidP="005E0AF6">
            <w:pPr>
              <w:pStyle w:val="List2"/>
            </w:pPr>
            <w:r w:rsidRPr="005E0AF6">
              <w:t>7.4.</w:t>
            </w:r>
            <w:r w:rsidRPr="005E0AF6">
              <w:tab/>
              <w:t>Implement measures to control those risks in line with procedures</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9" w:name="O_110027"/>
      <w:bookmarkEnd w:id="9"/>
      <w:r w:rsidRPr="005E0AF6">
        <w:t>Required Skills and Knowledge</w:t>
      </w:r>
    </w:p>
    <w:tbl>
      <w:tblPr>
        <w:tblW w:w="0" w:type="auto"/>
        <w:tblLayout w:type="fixed"/>
        <w:tblCellMar>
          <w:left w:w="62" w:type="dxa"/>
          <w:right w:w="62" w:type="dxa"/>
        </w:tblCellMar>
        <w:tblLook w:val="0000"/>
      </w:tblPr>
      <w:tblGrid>
        <w:gridCol w:w="8522"/>
      </w:tblGrid>
      <w:tr w:rsidTr="00F62B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REQUIRED SKILLS AND KNOWLEDGE</w:t>
            </w:r>
          </w:p>
        </w:tc>
      </w:tr>
      <w:tr w:rsidTr="00F62B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This section describes the skills and knowledge required for this unit.</w:t>
            </w:r>
          </w:p>
        </w:tc>
      </w:tr>
      <w:tr w:rsidTr="00F62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Required skills</w:t>
            </w:r>
          </w:p>
        </w:tc>
      </w:tr>
      <w:tr w:rsidTr="00F62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Required skills include:</w:t>
            </w:r>
          </w:p>
          <w:p w:rsidR="00000000" w:rsidRPr="005E0AF6" w:rsidP="005E0AF6">
            <w:pPr>
              <w:pStyle w:val="ListBullet"/>
            </w:pPr>
            <w:r w:rsidRPr="005E0AF6">
              <w:t>recognising conditions which will lead to out of specification product</w:t>
            </w:r>
          </w:p>
          <w:p w:rsidR="00000000" w:rsidRPr="005E0AF6" w:rsidP="005E0AF6">
            <w:pPr>
              <w:pStyle w:val="ListBullet"/>
            </w:pPr>
            <w:r w:rsidRPr="005E0AF6">
              <w:t>implementing the enterprise's procedures within time constraints and in a manner relevant to the correct use of the equipment</w:t>
            </w:r>
          </w:p>
          <w:p w:rsidR="00000000" w:rsidRPr="005E0AF6" w:rsidP="005E0AF6">
            <w:pPr>
              <w:pStyle w:val="ListBullet"/>
            </w:pPr>
            <w:r w:rsidRPr="005E0AF6">
              <w:t>conveying information relevant to the operation clearly and effectively</w:t>
            </w:r>
          </w:p>
          <w:p w:rsidR="00000000" w:rsidRPr="005E0AF6" w:rsidP="005E0AF6">
            <w:pPr>
              <w:pStyle w:val="ListBullet"/>
            </w:pPr>
            <w:r w:rsidRPr="005E0AF6">
              <w:t>maintaining appropriate levels of quality assurance</w:t>
            </w:r>
          </w:p>
          <w:p w:rsidR="00000000" w:rsidP="005E0AF6">
            <w:pPr>
              <w:pStyle w:val="ListBullet"/>
              <w:rPr>
                <w:lang w:val="en-NZ"/>
              </w:rPr>
            </w:pPr>
            <w:r w:rsidRPr="005E0AF6">
              <w:t>reading and numeracy to interpret workplace documents and technical information</w:t>
            </w:r>
          </w:p>
        </w:tc>
      </w:tr>
      <w:tr w:rsidTr="00F62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rPr>
                <w:rStyle w:val="SpecialBold"/>
              </w:rPr>
              <w:t>Required knowledge</w:t>
            </w:r>
          </w:p>
          <w:p w:rsidR="00000000" w:rsidRPr="005E0AF6" w:rsidP="005E0AF6">
            <w:pPr>
              <w:pStyle w:val="BodyText"/>
            </w:pPr>
            <w:r w:rsidRPr="005E0AF6">
              <w:t>required knowledge includes:</w:t>
            </w:r>
          </w:p>
          <w:p w:rsidR="00000000" w:rsidRPr="005E0AF6" w:rsidP="005E0AF6">
            <w:pPr>
              <w:pStyle w:val="ListBullet"/>
            </w:pPr>
            <w:r w:rsidRPr="005E0AF6">
              <w:t>is</w:t>
            </w:r>
            <w:r w:rsidRPr="005E0AF6">
              <w:t>olation procedures</w:t>
            </w:r>
          </w:p>
          <w:p w:rsidR="00000000" w:rsidRPr="005E0AF6" w:rsidP="005E0AF6">
            <w:pPr>
              <w:pStyle w:val="ListBullet"/>
            </w:pPr>
            <w:r w:rsidRPr="005E0AF6">
              <w:t>steam hazards</w:t>
            </w:r>
          </w:p>
          <w:p w:rsidR="00000000" w:rsidRPr="005E0AF6" w:rsidP="005E0AF6">
            <w:pPr>
              <w:pStyle w:val="ListBullet"/>
            </w:pPr>
            <w:r w:rsidRPr="005E0AF6">
              <w:t>operational processes and functions, including start up and shut down processes</w:t>
            </w:r>
          </w:p>
          <w:p w:rsidR="00000000" w:rsidRPr="005E0AF6" w:rsidP="005E0AF6">
            <w:pPr>
              <w:pStyle w:val="ListBullet"/>
            </w:pPr>
            <w:r w:rsidRPr="005E0AF6">
              <w:t>composition and nature of finished product</w:t>
            </w:r>
          </w:p>
          <w:p w:rsidR="00000000" w:rsidRPr="005E0AF6" w:rsidP="005E0AF6">
            <w:pPr>
              <w:pStyle w:val="ListBullet"/>
            </w:pPr>
            <w:r w:rsidRPr="005E0AF6">
              <w:t>construction and limitations of the equipment</w:t>
            </w:r>
          </w:p>
          <w:p w:rsidR="00000000" w:rsidRPr="005E0AF6" w:rsidP="005E0AF6">
            <w:pPr>
              <w:pStyle w:val="ListBullet"/>
            </w:pPr>
            <w:r w:rsidRPr="005E0AF6">
              <w:t xml:space="preserve">out of specification situations </w:t>
            </w:r>
          </w:p>
          <w:p w:rsidR="00000000" w:rsidRPr="005E0AF6" w:rsidP="005E0AF6">
            <w:pPr>
              <w:pStyle w:val="ListBullet"/>
            </w:pPr>
            <w:r w:rsidRPr="005E0AF6">
              <w:t>types of defects/faul</w:t>
            </w:r>
            <w:r w:rsidRPr="005E0AF6">
              <w:t>ts</w:t>
            </w:r>
          </w:p>
          <w:p w:rsidR="00000000" w:rsidRPr="005E0AF6" w:rsidP="005E0AF6">
            <w:pPr>
              <w:pStyle w:val="ListBullet"/>
            </w:pPr>
            <w:r w:rsidRPr="005E0AF6">
              <w:t>underlying causes of faults such as precipitated by:</w:t>
            </w:r>
          </w:p>
          <w:p w:rsidR="00000000" w:rsidRPr="005E0AF6" w:rsidP="005E0AF6">
            <w:pPr>
              <w:pStyle w:val="ListBullet2"/>
            </w:pPr>
            <w:r w:rsidRPr="005E0AF6">
              <w:t>electrical/instrumental failures</w:t>
            </w:r>
          </w:p>
          <w:p w:rsidR="00000000" w:rsidRPr="005E0AF6" w:rsidP="005E0AF6">
            <w:pPr>
              <w:pStyle w:val="ListBullet2"/>
            </w:pPr>
            <w:r w:rsidRPr="005E0AF6">
              <w:t>steam pressure differentials</w:t>
            </w:r>
          </w:p>
          <w:p w:rsidR="00000000" w:rsidRPr="005E0AF6" w:rsidP="005E0AF6">
            <w:pPr>
              <w:pStyle w:val="ListBullet2"/>
            </w:pPr>
            <w:r w:rsidRPr="005E0AF6">
              <w:t>time cycle irregularities</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10" w:name="O_110028"/>
      <w:bookmarkEnd w:id="10"/>
      <w:r w:rsidRPr="005E0AF6">
        <w:t>Evidence Guide</w:t>
      </w:r>
    </w:p>
    <w:tbl>
      <w:tblPr>
        <w:tblW w:w="9570" w:type="dxa"/>
        <w:tblLayout w:type="fixed"/>
        <w:tblCellMar>
          <w:left w:w="62" w:type="dxa"/>
          <w:right w:w="62" w:type="dxa"/>
        </w:tblCellMar>
        <w:tblLook w:val="0000"/>
      </w:tblPr>
      <w:tblGrid>
        <w:gridCol w:w="3908"/>
        <w:gridCol w:w="5662"/>
      </w:tblGrid>
      <w:tr w:rsidTr="00F62B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EVIDENCE GUIDE</w:t>
            </w:r>
          </w:p>
        </w:tc>
      </w:tr>
      <w:tr w:rsidTr="00F62B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The Evidence Guide provides advice on assessment and must be read in conjunction with the performance criteria, required skills and knowledge, range statement and the Assessment Guidelines for the Training Package.</w:t>
            </w:r>
          </w:p>
        </w:tc>
      </w:tr>
      <w:tr w:rsidTr="00F62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The unit will be</w:t>
            </w:r>
            <w:r w:rsidRPr="005E0AF6">
              <w:t xml:space="preserve"> assessed in as holistic a manner as is practical and may be integrated with the assessment of other relevant units of competency. </w:t>
            </w:r>
          </w:p>
        </w:tc>
      </w:tr>
      <w:tr w:rsidTr="00F62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It is essential that the equipment and the process be understood and that the importance of critical settings and readings are known.</w:t>
            </w:r>
          </w:p>
          <w:p w:rsidR="00000000" w:rsidRPr="005E0AF6" w:rsidP="005E0AF6">
            <w:pPr>
              <w:pStyle w:val="BodyText"/>
            </w:pPr>
            <w:r w:rsidRPr="005E0AF6">
              <w:t xml:space="preserve">Competence must be demonstrated in the ability to recognise and analyse potential situations requiring action and then in </w:t>
            </w:r>
            <w:r w:rsidRPr="005E0AF6">
              <w:t>implementing appropriate corrective action.</w:t>
            </w:r>
          </w:p>
          <w:p w:rsidR="00000000" w:rsidRPr="005E0AF6" w:rsidP="005E0AF6">
            <w:pPr>
              <w:pStyle w:val="BodyText"/>
            </w:pPr>
            <w:r w:rsidRPr="005E0AF6">
              <w:t>Consistent performance should be demonstrated. In particular look to see that:</w:t>
            </w:r>
          </w:p>
          <w:p w:rsidR="00000000" w:rsidRPr="005E0AF6" w:rsidP="005E0AF6">
            <w:pPr>
              <w:pStyle w:val="ListBullet"/>
            </w:pPr>
            <w:r w:rsidRPr="005E0AF6">
              <w:t>startup and shutdown procedures are applied without variation</w:t>
            </w:r>
          </w:p>
          <w:p w:rsidR="00000000" w:rsidRPr="005E0AF6" w:rsidP="005E0AF6">
            <w:pPr>
              <w:pStyle w:val="ListBullet"/>
            </w:pPr>
            <w:r w:rsidRPr="005E0AF6">
              <w:t>signals and alarms are responded to immediately</w:t>
            </w:r>
          </w:p>
          <w:p w:rsidR="00000000" w:rsidRPr="005E0AF6" w:rsidP="005E0AF6">
            <w:pPr>
              <w:pStyle w:val="ListBullet"/>
            </w:pPr>
            <w:r w:rsidRPr="005E0AF6">
              <w:t>isolation procedures f</w:t>
            </w:r>
            <w:r w:rsidRPr="005E0AF6">
              <w:t>or maintenance are followed</w:t>
            </w:r>
          </w:p>
          <w:p w:rsidR="00000000" w:rsidRPr="005E0AF6" w:rsidP="005E0AF6">
            <w:pPr>
              <w:pStyle w:val="ListBullet"/>
            </w:pPr>
            <w:r w:rsidRPr="005E0AF6">
              <w:t>all OHS requirements are followed.</w:t>
            </w:r>
          </w:p>
          <w:p w:rsidR="00000000" w:rsidP="005E0AF6">
            <w:pPr>
              <w:pStyle w:val="BodyText"/>
              <w:rPr>
                <w:lang w:val="en-NZ"/>
              </w:rPr>
            </w:pPr>
            <w:r w:rsidRPr="005E0AF6">
              <w:t>Competence must be demonstrated in the operation of all ancillary equipment to the level required for this unit of competency.</w:t>
            </w:r>
          </w:p>
        </w:tc>
      </w:tr>
      <w:tr w:rsidTr="00F62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 xml:space="preserve">Assessment will </w:t>
            </w:r>
            <w:r w:rsidRPr="005E0AF6">
              <w:t xml:space="preserve">require access to an operating plant over an extended period of time, or a suitable method of gathering evidence of operating ability over a range of situations. </w:t>
            </w:r>
          </w:p>
          <w:p w:rsidR="00000000" w:rsidRPr="005E0AF6" w:rsidP="005E0AF6">
            <w:pPr>
              <w:pStyle w:val="BodyText"/>
            </w:pPr>
            <w:r w:rsidRPr="005E0AF6">
              <w:t>Assessment will occur over a range of situations which will include disruptions to normal, sm</w:t>
            </w:r>
            <w:r w:rsidRPr="005E0AF6">
              <w:t>ooth operation.</w:t>
            </w:r>
          </w:p>
          <w:p w:rsidR="00000000" w:rsidP="005E0AF6">
            <w:pPr>
              <w:pStyle w:val="BodyText"/>
              <w:rPr>
                <w:lang w:val="en-NZ"/>
              </w:rPr>
            </w:pPr>
            <w:r w:rsidRPr="005E0AF6">
              <w:t xml:space="preserve">Simulation or case studies/scenarios may be required to allow for timely assessment of parts of this unit of competency. Simulation should be based on the actual plant and will include 'walk-throughs' of the relevant competency components. </w:t>
            </w:r>
            <w:r w:rsidRPr="005E0AF6">
              <w:t>A bank of scenarios/case studies/what ifs and questions will be required to probe the reasoning behind observable actions.</w:t>
            </w:r>
          </w:p>
        </w:tc>
      </w:tr>
      <w:tr w:rsidTr="00F62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Individual enterprises may choose to add prerequisites and co-requisites relevant to their processes.</w:t>
            </w:r>
          </w:p>
        </w:tc>
      </w:tr>
      <w:tr w:rsidTr="00F62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Assessment processes and techniques must be culturally appropriate and appropriate to the language and literacy capacity of the candidate and the work being performed.</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11" w:name="O_110029"/>
      <w:bookmarkEnd w:id="11"/>
      <w:r w:rsidRPr="005E0AF6">
        <w:t>Range Statement</w:t>
      </w:r>
    </w:p>
    <w:tbl>
      <w:tblPr>
        <w:tblW w:w="0" w:type="auto"/>
        <w:tblLayout w:type="fixed"/>
        <w:tblCellMar>
          <w:left w:w="62" w:type="dxa"/>
          <w:right w:w="62" w:type="dxa"/>
        </w:tblCellMar>
        <w:tblLook w:val="0000"/>
      </w:tblPr>
      <w:tblGrid>
        <w:gridCol w:w="3500"/>
        <w:gridCol w:w="5022"/>
      </w:tblGrid>
      <w:tr w:rsidTr="00F62B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RANGE STATEMENT</w:t>
            </w:r>
          </w:p>
        </w:tc>
      </w:tr>
      <w:tr w:rsidTr="00F62B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The range statement relates to the unit of competency as a whole. It allows for different work environments and situations that may affect performance. Bold italicised wording, if used in the performance criteria, is detailed below. Essential operating co</w:t>
            </w:r>
            <w:r w:rsidRPr="005E0AF6">
              <w:t>nditions that may be present with training and assessment (depending on the work situation, needs of the candidate, accessibility of the item, and local industry and regional contexts) may also be included.</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t>All operations are performed in accordance with standard procedures and work instructions.</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Operation of steam chambers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This unit includes the operation of various steam chambers for the curing of concrete products and pipes and may include:</w:t>
            </w:r>
          </w:p>
          <w:p w:rsidR="00000000" w:rsidRPr="005E0AF6" w:rsidP="005E0AF6">
            <w:pPr>
              <w:pStyle w:val="ListBullet"/>
            </w:pPr>
            <w:r w:rsidRPr="005E0AF6">
              <w:t>purpose built</w:t>
            </w:r>
            <w:r w:rsidRPr="005E0AF6">
              <w:t>, low pressure steam chambers</w:t>
            </w:r>
          </w:p>
          <w:p w:rsidR="00000000" w:rsidRPr="005E0AF6" w:rsidP="005E0AF6">
            <w:pPr>
              <w:pStyle w:val="ListBullet"/>
            </w:pPr>
            <w:r w:rsidRPr="005E0AF6">
              <w:t>autoclaves (high or low pressure)</w:t>
            </w:r>
          </w:p>
          <w:p w:rsidR="00000000" w:rsidP="005E0AF6">
            <w:pPr>
              <w:pStyle w:val="ListBullet"/>
              <w:rPr>
                <w:lang w:val="en-NZ"/>
              </w:rPr>
            </w:pPr>
            <w:r w:rsidRPr="005E0AF6">
              <w:t>temporary means of retaining low pressure steam near the curing concrete product</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Variations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Variations include:</w:t>
            </w:r>
          </w:p>
          <w:p w:rsidR="00000000" w:rsidRPr="005E0AF6" w:rsidP="005E0AF6">
            <w:pPr>
              <w:pStyle w:val="ListBullet"/>
            </w:pPr>
            <w:r w:rsidRPr="005E0AF6">
              <w:t>nature and type of plant configuration</w:t>
            </w:r>
          </w:p>
          <w:p w:rsidR="00000000" w:rsidRPr="005E0AF6" w:rsidP="005E0AF6">
            <w:pPr>
              <w:pStyle w:val="ListBullet"/>
            </w:pPr>
            <w:r w:rsidRPr="005E0AF6">
              <w:t>nature of curing process (e.g. hot water, low pressure steam, high pressure steam, autoclaving)</w:t>
            </w:r>
          </w:p>
          <w:p w:rsidR="00000000" w:rsidRPr="005E0AF6" w:rsidP="005E0AF6">
            <w:pPr>
              <w:pStyle w:val="ListBullet"/>
            </w:pPr>
            <w:r w:rsidRPr="005E0AF6">
              <w:t>nature and type of steam chamber (e.g. tarpaulin cover, steam chamber and autoclave)</w:t>
            </w:r>
          </w:p>
          <w:p w:rsidR="00000000" w:rsidRPr="005E0AF6" w:rsidP="005E0AF6">
            <w:pPr>
              <w:pStyle w:val="ListBullet"/>
            </w:pPr>
            <w:r w:rsidRPr="005E0AF6">
              <w:t>nature and type of product to be cured</w:t>
            </w:r>
          </w:p>
          <w:p w:rsidR="00000000" w:rsidP="005E0AF6">
            <w:pPr>
              <w:pStyle w:val="ListBullet"/>
              <w:rPr>
                <w:lang w:val="en-NZ"/>
              </w:rPr>
            </w:pPr>
            <w:r w:rsidRPr="005E0AF6">
              <w:t>safe work practices and the use of p</w:t>
            </w:r>
            <w:r w:rsidRPr="005E0AF6">
              <w:t>rotective clothing, hard hats and safety glasses</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Checking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Checking equipment includes:</w:t>
            </w:r>
          </w:p>
          <w:p w:rsidR="00000000" w:rsidRPr="005E0AF6" w:rsidP="005E0AF6">
            <w:pPr>
              <w:pStyle w:val="ListBullet"/>
            </w:pPr>
            <w:r w:rsidRPr="005E0AF6">
              <w:t>chamber doors and locking equipment</w:t>
            </w:r>
          </w:p>
          <w:p w:rsidR="00000000" w:rsidRPr="005E0AF6" w:rsidP="005E0AF6">
            <w:pPr>
              <w:pStyle w:val="ListBullet"/>
            </w:pPr>
            <w:r w:rsidRPr="005E0AF6">
              <w:t>transfer cars to fill chambers</w:t>
            </w:r>
          </w:p>
          <w:p w:rsidR="00000000" w:rsidRPr="005E0AF6" w:rsidP="005E0AF6">
            <w:pPr>
              <w:pStyle w:val="ListBullet"/>
            </w:pPr>
            <w:r w:rsidRPr="005E0AF6">
              <w:t>steam and pressure generation equipment</w:t>
            </w:r>
          </w:p>
          <w:p w:rsidR="00000000" w:rsidP="005E0AF6">
            <w:pPr>
              <w:pStyle w:val="ListBullet"/>
              <w:rPr>
                <w:lang w:val="en-NZ"/>
              </w:rPr>
            </w:pPr>
            <w:r w:rsidRPr="005E0AF6">
              <w:t>pressure and temperature gauges</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Equipment may include:</w:t>
            </w:r>
          </w:p>
          <w:p w:rsidR="00000000" w:rsidRPr="005E0AF6" w:rsidP="005E0AF6">
            <w:pPr>
              <w:pStyle w:val="ListBullet"/>
            </w:pPr>
            <w:r w:rsidRPr="005E0AF6">
              <w:t>instruments and PLCs but not control panels</w:t>
            </w:r>
          </w:p>
          <w:p w:rsidR="00000000" w:rsidRPr="005E0AF6" w:rsidP="005E0AF6">
            <w:pPr>
              <w:pStyle w:val="ListBullet"/>
            </w:pPr>
            <w:r w:rsidRPr="005E0AF6">
              <w:t>measuring and/or recording equipment</w:t>
            </w:r>
          </w:p>
          <w:p w:rsidR="00000000" w:rsidRPr="005E0AF6" w:rsidP="005E0AF6">
            <w:pPr>
              <w:pStyle w:val="ListBullet"/>
            </w:pPr>
            <w:r w:rsidRPr="005E0AF6">
              <w:t>communication equipment</w:t>
            </w:r>
          </w:p>
          <w:p w:rsidR="00000000" w:rsidP="005E0AF6">
            <w:pPr>
              <w:pStyle w:val="ListBullet"/>
              <w:rPr>
                <w:lang w:val="en-NZ"/>
              </w:rPr>
            </w:pPr>
            <w:r w:rsidRPr="005E0AF6">
              <w:t>tarpaulins used to cover concrete</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Typical problems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Typical problems may include:</w:t>
            </w:r>
          </w:p>
          <w:p w:rsidR="00000000" w:rsidRPr="005E0AF6" w:rsidP="005E0AF6">
            <w:pPr>
              <w:pStyle w:val="ListBullet"/>
            </w:pPr>
            <w:r w:rsidRPr="005E0AF6">
              <w:t>equipment malfunctions</w:t>
            </w:r>
          </w:p>
          <w:p w:rsidR="00000000" w:rsidRPr="005E0AF6" w:rsidP="005E0AF6">
            <w:pPr>
              <w:pStyle w:val="ListBullet"/>
            </w:pPr>
            <w:r w:rsidRPr="005E0AF6">
              <w:t>temperature or pressu</w:t>
            </w:r>
            <w:r w:rsidRPr="005E0AF6">
              <w:t>re fluctuations</w:t>
            </w:r>
          </w:p>
          <w:p w:rsidR="00000000" w:rsidRPr="005E0AF6" w:rsidP="005E0AF6">
            <w:pPr>
              <w:pStyle w:val="ListBullet"/>
            </w:pPr>
            <w:r w:rsidRPr="005E0AF6">
              <w:t>product quality variations</w:t>
            </w:r>
          </w:p>
          <w:p w:rsidR="00000000" w:rsidRPr="005E0AF6" w:rsidP="005E0AF6">
            <w:pPr>
              <w:pStyle w:val="ListBullet"/>
            </w:pPr>
            <w:r w:rsidRPr="005E0AF6">
              <w:t>material/feed variations</w:t>
            </w:r>
          </w:p>
          <w:p w:rsidR="00000000" w:rsidP="005E0AF6">
            <w:pPr>
              <w:pStyle w:val="ListBullet"/>
              <w:rPr>
                <w:lang w:val="en-NZ"/>
              </w:rPr>
            </w:pPr>
            <w:r w:rsidRPr="005E0AF6">
              <w:t>chamber pressure losses</w:t>
            </w:r>
          </w:p>
        </w:tc>
      </w:tr>
      <w:tr w:rsidTr="00F62BA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Occupational health and safety</w:t>
            </w:r>
            <w:r w:rsidRPr="005E0AF6">
              <w:t xml:space="preserve"> (</w:t>
            </w:r>
            <w:r w:rsidRPr="005E0AF6">
              <w:rPr>
                <w:rStyle w:val="SpecialBold"/>
              </w:rPr>
              <w:t>OHS</w:t>
            </w:r>
            <w:r w:rsidRPr="005E0AF6">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All operations a</w:t>
            </w:r>
            <w:r w:rsidRPr="005E0AF6">
              <w:t>re subject to stringent OHS requirements and these must not be compromised at any time. Where there is an apparent conflict between performance criteria and OHS requirements, the OHS requirements take precedence</w:t>
            </w:r>
          </w:p>
        </w:tc>
      </w:tr>
    </w:tbl>
    <w:p w:rsidR="00F62BAE" w:rsidP="005E0AF6">
      <w:pPr>
        <w:pStyle w:val="BodyText"/>
      </w:pPr>
    </w:p>
    <w:p w:rsidR="00F62BAE" w:rsidP="005E0AF6">
      <w:pPr>
        <w:pStyle w:val="BodyText"/>
      </w:pPr>
    </w:p>
    <w:p w:rsidR="00000000" w:rsidRPr="005E0AF6" w:rsidP="005E0AF6">
      <w:pPr>
        <w:pStyle w:val="Heading1"/>
      </w:pPr>
      <w:bookmarkStart w:id="12" w:name="O_110030"/>
      <w:bookmarkEnd w:id="12"/>
      <w:r w:rsidRPr="005E0AF6">
        <w:t>Unit Sector(s)</w:t>
      </w:r>
    </w:p>
    <w:tbl>
      <w:tblPr>
        <w:tblW w:w="0" w:type="auto"/>
        <w:tblLayout w:type="fixed"/>
        <w:tblCellMar>
          <w:left w:w="62" w:type="dxa"/>
          <w:right w:w="62" w:type="dxa"/>
        </w:tblCellMar>
        <w:tblLook w:val="0000"/>
      </w:tblPr>
      <w:tblGrid>
        <w:gridCol w:w="2567"/>
        <w:gridCol w:w="5955"/>
      </w:tblGrid>
      <w:tr w:rsidTr="00F62BA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r w:rsidRPr="005E0AF6">
              <w:t>Operational/technical</w:t>
            </w: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13" w:name="O_160105"/>
      <w:bookmarkEnd w:id="13"/>
      <w:r w:rsidRPr="005E0AF6">
        <w:t>Competency field</w:t>
      </w:r>
    </w:p>
    <w:tbl>
      <w:tblPr>
        <w:tblW w:w="0" w:type="auto"/>
        <w:tblLayout w:type="fixed"/>
        <w:tblCellMar>
          <w:left w:w="62" w:type="dxa"/>
          <w:right w:w="62" w:type="dxa"/>
        </w:tblCellMar>
        <w:tblLook w:val="0000"/>
      </w:tblPr>
      <w:tblGrid>
        <w:gridCol w:w="2784"/>
        <w:gridCol w:w="5738"/>
      </w:tblGrid>
      <w:tr w:rsidTr="00F62B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p>
        </w:tc>
      </w:tr>
    </w:tbl>
    <w:p w:rsidR="00000000" w:rsidRPr="005E0AF6" w:rsidP="005E0AF6">
      <w:pPr>
        <w:pStyle w:val="BodyText"/>
      </w:pPr>
    </w:p>
    <w:p w:rsidR="00000000" w:rsidRPr="005E0AF6" w:rsidP="005E0AF6">
      <w:pPr>
        <w:pStyle w:val="AllowPageBreak"/>
      </w:pPr>
    </w:p>
    <w:p w:rsidR="00000000" w:rsidRPr="005E0AF6" w:rsidP="005E0AF6">
      <w:pPr>
        <w:pStyle w:val="Heading1"/>
      </w:pPr>
      <w:bookmarkStart w:id="14" w:name="O_160104"/>
      <w:bookmarkEnd w:id="14"/>
      <w:r w:rsidRPr="005E0AF6">
        <w:t>Co-requisite units</w:t>
      </w:r>
    </w:p>
    <w:tbl>
      <w:tblPr>
        <w:tblW w:w="0" w:type="auto"/>
        <w:tblLayout w:type="fixed"/>
        <w:tblCellMar>
          <w:left w:w="62" w:type="dxa"/>
          <w:right w:w="62" w:type="dxa"/>
        </w:tblCellMar>
        <w:tblLook w:val="0000"/>
      </w:tblPr>
      <w:tblGrid>
        <w:gridCol w:w="2641"/>
        <w:gridCol w:w="1322"/>
        <w:gridCol w:w="4559"/>
      </w:tblGrid>
      <w:tr w:rsidTr="00F62B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r w:rsidRPr="005E0A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p>
        </w:tc>
      </w:tr>
      <w:tr w:rsidTr="00F62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AF6">
            <w:pPr>
              <w:pStyle w:val="BodyText"/>
              <w:rPr>
                <w:lang w:val="en-NZ"/>
              </w:rPr>
            </w:pPr>
          </w:p>
        </w:tc>
      </w:tr>
      <w:tr w:rsidTr="00F62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AF6" w:rsidP="005E0AF6">
            <w:pPr>
              <w:pStyle w:val="BodyText"/>
            </w:pPr>
          </w:p>
        </w:tc>
      </w:tr>
    </w:tbl>
    <w:p w:rsidR="00000000" w:rsidRPr="005E0AF6" w:rsidP="005E0AF6">
      <w:pPr>
        <w:pStyle w:val="BodyText"/>
      </w:pPr>
    </w:p>
    <w:p w:rsidR="00000000" w:rsidRPr="005E0AF6" w:rsidP="005E0AF6"/>
    <w:sectPr w:rsidSect="005E0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BAE" w:rsidP="00F62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E" w:rsidP="005E0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2BAE" w:rsidP="005E0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2BAE" w:rsidP="005E0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BAE" w:rsidP="00F62B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AE" w:rsidP="005E0AF6">
    <w:pPr>
      <w:pStyle w:val="Header"/>
      <w:framePr w:wrap="around"/>
    </w:pPr>
    <w:r>
      <w:fldChar w:fldCharType="begin"/>
    </w:r>
    <w:r>
      <w:instrText xml:space="preserve"> TITLE   \* MERGEFORMAT </w:instrText>
    </w:r>
    <w:r>
      <w:fldChar w:fldCharType="separate"/>
    </w:r>
    <w:r>
      <w:t>PMC552007B Heat accelerate the curing of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2BAE" w:rsidP="005E0A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602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EB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720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AF6"/>
    <w:pPr>
      <w:spacing w:before="360" w:after="60"/>
      <w:outlineLvl w:val="0"/>
    </w:pPr>
    <w:rPr>
      <w:sz w:val="32"/>
    </w:rPr>
  </w:style>
  <w:style w:type="paragraph" w:styleId="Heading2">
    <w:name w:val="heading 2"/>
    <w:basedOn w:val="HeadingBase"/>
    <w:next w:val="BodyText"/>
    <w:link w:val="Heading2Char"/>
    <w:qFormat/>
    <w:rsid w:val="005E0AF6"/>
    <w:pPr>
      <w:keepLines/>
      <w:spacing w:before="240" w:after="120"/>
      <w:outlineLvl w:val="1"/>
    </w:pPr>
    <w:rPr>
      <w:sz w:val="28"/>
      <w:szCs w:val="40"/>
    </w:rPr>
  </w:style>
  <w:style w:type="paragraph" w:styleId="Heading3">
    <w:name w:val="heading 3"/>
    <w:basedOn w:val="HeadingBase"/>
    <w:next w:val="BodyText"/>
    <w:link w:val="Heading3Char"/>
    <w:qFormat/>
    <w:rsid w:val="005E0AF6"/>
    <w:pPr>
      <w:spacing w:before="180" w:after="120"/>
      <w:outlineLvl w:val="2"/>
    </w:pPr>
    <w:rPr>
      <w:spacing w:val="-10"/>
      <w:kern w:val="32"/>
    </w:rPr>
  </w:style>
  <w:style w:type="paragraph" w:styleId="Heading4">
    <w:name w:val="heading 4"/>
    <w:basedOn w:val="HeadingBase"/>
    <w:next w:val="BodyText"/>
    <w:link w:val="Heading4Char"/>
    <w:qFormat/>
    <w:rsid w:val="005E0AF6"/>
    <w:pPr>
      <w:spacing w:before="160" w:after="120"/>
      <w:outlineLvl w:val="3"/>
    </w:pPr>
    <w:rPr>
      <w:sz w:val="22"/>
    </w:rPr>
  </w:style>
  <w:style w:type="paragraph" w:styleId="Heading5">
    <w:name w:val="heading 5"/>
    <w:basedOn w:val="HeadingBase"/>
    <w:next w:val="Normal"/>
    <w:link w:val="Heading5Char"/>
    <w:qFormat/>
    <w:rsid w:val="005E0AF6"/>
    <w:pPr>
      <w:spacing w:before="80"/>
      <w:outlineLvl w:val="4"/>
    </w:pPr>
    <w:rPr>
      <w:color w:val="918585"/>
      <w:sz w:val="20"/>
    </w:rPr>
  </w:style>
  <w:style w:type="paragraph" w:styleId="Heading6">
    <w:name w:val="heading 6"/>
    <w:basedOn w:val="HeadingBase"/>
    <w:next w:val="Normal"/>
    <w:link w:val="Heading6Char"/>
    <w:qFormat/>
    <w:rsid w:val="005E0AF6"/>
    <w:pPr>
      <w:spacing w:before="60"/>
      <w:outlineLvl w:val="5"/>
    </w:pPr>
    <w:rPr>
      <w:color w:val="918585"/>
      <w:sz w:val="20"/>
    </w:rPr>
  </w:style>
  <w:style w:type="paragraph" w:styleId="Heading7">
    <w:name w:val="heading 7"/>
    <w:basedOn w:val="Normal"/>
    <w:next w:val="Normal"/>
    <w:link w:val="Heading7Char"/>
    <w:qFormat/>
    <w:rsid w:val="005E0AF6"/>
    <w:pPr>
      <w:ind w:left="720"/>
      <w:outlineLvl w:val="6"/>
    </w:pPr>
    <w:rPr>
      <w:i/>
    </w:rPr>
  </w:style>
  <w:style w:type="paragraph" w:styleId="Heading8">
    <w:name w:val="heading 8"/>
    <w:basedOn w:val="Normal"/>
    <w:next w:val="Normal"/>
    <w:link w:val="Heading8Char"/>
    <w:qFormat/>
    <w:rsid w:val="005E0AF6"/>
    <w:pPr>
      <w:ind w:left="720"/>
      <w:outlineLvl w:val="7"/>
    </w:pPr>
    <w:rPr>
      <w:i/>
    </w:rPr>
  </w:style>
  <w:style w:type="paragraph" w:styleId="Heading9">
    <w:name w:val="heading 9"/>
    <w:basedOn w:val="Normal"/>
    <w:next w:val="Normal"/>
    <w:link w:val="Heading9Char"/>
    <w:qFormat/>
    <w:rsid w:val="005E0AF6"/>
    <w:pPr>
      <w:ind w:left="720"/>
      <w:outlineLvl w:val="8"/>
    </w:pPr>
    <w:rPr>
      <w:i/>
    </w:rPr>
  </w:style>
  <w:style w:type="character" w:default="1" w:styleId="DefaultParagraphFont">
    <w:name w:val="Default Paragraph Font"/>
    <w:uiPriority w:val="1"/>
    <w:unhideWhenUsed/>
    <w:rsid w:val="005E0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AF6"/>
  </w:style>
  <w:style w:type="character" w:customStyle="1" w:styleId="Heading1Char">
    <w:name w:val="Heading 1 Char"/>
    <w:basedOn w:val="DefaultParagraphFont"/>
    <w:link w:val="Heading1"/>
    <w:rsid w:val="005E0AF6"/>
    <w:rPr>
      <w:rFonts w:ascii="Times New Roman" w:eastAsia="Times New Roman" w:hAnsi="Times New Roman" w:cs="Times New Roman"/>
      <w:b/>
      <w:sz w:val="32"/>
      <w:szCs w:val="20"/>
      <w:lang w:eastAsia="en-US"/>
    </w:rPr>
  </w:style>
  <w:style w:type="paragraph" w:styleId="BodyText">
    <w:name w:val="Body Text"/>
    <w:basedOn w:val="Normal"/>
    <w:link w:val="BodyTextChar"/>
    <w:rsid w:val="005E0A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AF6"/>
    <w:rPr>
      <w:rFonts w:ascii="Times New Roman" w:eastAsia="Times New Roman" w:hAnsi="Times New Roman" w:cs="Times New Roman"/>
      <w:sz w:val="24"/>
      <w:lang w:val="en-US" w:eastAsia="en-US"/>
    </w:rPr>
  </w:style>
  <w:style w:type="paragraph" w:styleId="Footer">
    <w:name w:val="footer"/>
    <w:basedOn w:val="Normal"/>
    <w:link w:val="FooterChar"/>
    <w:rsid w:val="005E0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AF6"/>
    <w:rPr>
      <w:rFonts w:ascii="Times New Roman" w:eastAsia="Times New Roman" w:hAnsi="Times New Roman" w:cs="Times New Roman"/>
      <w:sz w:val="16"/>
      <w:lang w:val="en-US" w:eastAsia="en-US"/>
    </w:rPr>
  </w:style>
  <w:style w:type="paragraph" w:styleId="List">
    <w:name w:val="List"/>
    <w:basedOn w:val="BodyText"/>
    <w:next w:val="BodyText"/>
    <w:rsid w:val="005E0AF6"/>
    <w:pPr>
      <w:tabs>
        <w:tab w:val="left" w:pos="340"/>
      </w:tabs>
      <w:spacing w:before="60" w:after="60"/>
      <w:ind w:left="340" w:hanging="340"/>
    </w:pPr>
  </w:style>
  <w:style w:type="paragraph" w:styleId="ListBullet">
    <w:name w:val="List Bullet"/>
    <w:basedOn w:val="List"/>
    <w:rsid w:val="005E0AF6"/>
    <w:pPr>
      <w:numPr>
        <w:numId w:val="13"/>
      </w:numPr>
      <w:tabs>
        <w:tab w:val="clear" w:pos="340"/>
      </w:tabs>
      <w:spacing w:before="40" w:after="40"/>
    </w:pPr>
  </w:style>
  <w:style w:type="character" w:customStyle="1" w:styleId="SpecialBold">
    <w:name w:val="Special Bold"/>
    <w:basedOn w:val="DefaultParagraphFont"/>
    <w:rsid w:val="005E0AF6"/>
    <w:rPr>
      <w:b/>
      <w:spacing w:val="0"/>
    </w:rPr>
  </w:style>
  <w:style w:type="paragraph" w:styleId="ListBullet2">
    <w:name w:val="List Bullet 2"/>
    <w:basedOn w:val="List2"/>
    <w:rsid w:val="005E0AF6"/>
    <w:pPr>
      <w:numPr>
        <w:numId w:val="14"/>
      </w:numPr>
      <w:tabs>
        <w:tab w:val="clear" w:pos="680"/>
      </w:tabs>
    </w:pPr>
  </w:style>
  <w:style w:type="paragraph" w:styleId="Header">
    <w:name w:val="header"/>
    <w:basedOn w:val="Normal"/>
    <w:link w:val="HeaderChar"/>
    <w:rsid w:val="005E0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A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AF6"/>
    <w:pPr>
      <w:spacing w:before="240" w:after="120"/>
      <w:outlineLvl w:val="0"/>
    </w:pPr>
    <w:rPr>
      <w:rFonts w:ascii="Times New Roman" w:hAnsi="Times New Roman"/>
      <w:b/>
      <w:sz w:val="28"/>
    </w:rPr>
  </w:style>
  <w:style w:type="paragraph" w:customStyle="1" w:styleId="AllowPageBreak">
    <w:name w:val="AllowPageBreak"/>
    <w:rsid w:val="005E0A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AF6"/>
    <w:pPr>
      <w:tabs>
        <w:tab w:val="left" w:pos="680"/>
      </w:tabs>
      <w:spacing w:before="60" w:after="60"/>
      <w:ind w:left="680" w:hanging="340"/>
    </w:pPr>
  </w:style>
  <w:style w:type="character" w:customStyle="1" w:styleId="Heading2Char">
    <w:name w:val="Heading 2 Char"/>
    <w:basedOn w:val="DefaultParagraphFont"/>
    <w:link w:val="Heading2"/>
    <w:rsid w:val="005E0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AF6"/>
    <w:rPr>
      <w:rFonts w:ascii="Courier New" w:eastAsia="Times New Roman" w:hAnsi="Courier New" w:cs="Times New Roman"/>
      <w:i/>
      <w:szCs w:val="20"/>
      <w:lang w:val="en-US" w:eastAsia="en-US"/>
    </w:rPr>
  </w:style>
  <w:style w:type="paragraph" w:customStyle="1" w:styleId="HeadingBase">
    <w:name w:val="Heading Base"/>
    <w:rsid w:val="005E0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AF6"/>
    <w:pPr>
      <w:tabs>
        <w:tab w:val="right" w:leader="dot" w:pos="9072"/>
      </w:tabs>
      <w:ind w:left="567"/>
    </w:pPr>
    <w:rPr>
      <w:szCs w:val="22"/>
    </w:rPr>
  </w:style>
  <w:style w:type="paragraph" w:customStyle="1" w:styleId="TOCBase">
    <w:name w:val="TOC Base"/>
    <w:rsid w:val="005E0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AF6"/>
    <w:pPr>
      <w:tabs>
        <w:tab w:val="right" w:leader="dot" w:pos="9072"/>
      </w:tabs>
      <w:spacing w:before="40" w:after="40"/>
      <w:ind w:left="284"/>
    </w:pPr>
    <w:rPr>
      <w:rFonts w:ascii="Times New Roman" w:hAnsi="Times New Roman"/>
    </w:rPr>
  </w:style>
  <w:style w:type="paragraph" w:styleId="TOC1">
    <w:name w:val="toc 1"/>
    <w:basedOn w:val="TOCBase"/>
    <w:next w:val="Normal"/>
    <w:rsid w:val="005E0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AF6"/>
    <w:pPr>
      <w:spacing w:before="5040"/>
      <w:jc w:val="center"/>
    </w:pPr>
    <w:rPr>
      <w:sz w:val="48"/>
      <w:szCs w:val="72"/>
      <w:lang w:val="en-US"/>
    </w:rPr>
  </w:style>
  <w:style w:type="character" w:customStyle="1" w:styleId="TitleChar">
    <w:name w:val="Title Char"/>
    <w:basedOn w:val="DefaultParagraphFont"/>
    <w:link w:val="Title"/>
    <w:rsid w:val="005E0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AF6"/>
    <w:pPr>
      <w:tabs>
        <w:tab w:val="left" w:pos="3600"/>
        <w:tab w:val="left" w:pos="3958"/>
      </w:tabs>
    </w:pPr>
  </w:style>
  <w:style w:type="paragraph" w:customStyle="1" w:styleId="Note">
    <w:name w:val="Note"/>
    <w:basedOn w:val="BodyText"/>
    <w:rsid w:val="005E0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AF6"/>
    <w:pPr>
      <w:framePr w:wrap="auto" w:hAnchor="text" w:y="6049"/>
    </w:pPr>
    <w:rPr>
      <w:color w:val="000000"/>
      <w:sz w:val="40"/>
    </w:rPr>
  </w:style>
  <w:style w:type="paragraph" w:customStyle="1" w:styleId="TOCTitle">
    <w:name w:val="TOCTitle"/>
    <w:basedOn w:val="Heading1"/>
    <w:rsid w:val="005E0AF6"/>
    <w:pPr>
      <w:spacing w:after="240"/>
      <w:jc w:val="center"/>
      <w:outlineLvl w:val="9"/>
    </w:pPr>
    <w:rPr>
      <w:caps/>
    </w:rPr>
  </w:style>
  <w:style w:type="paragraph" w:customStyle="1" w:styleId="Version">
    <w:name w:val="Version"/>
    <w:rsid w:val="005E0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AF6"/>
    <w:pPr>
      <w:keepNext w:val="0"/>
      <w:tabs>
        <w:tab w:val="right" w:pos="4176"/>
      </w:tabs>
      <w:ind w:left="198" w:hanging="198"/>
    </w:pPr>
    <w:rPr>
      <w:rFonts w:ascii="Garamond" w:hAnsi="Garamond"/>
    </w:rPr>
  </w:style>
  <w:style w:type="paragraph" w:styleId="IndexHeading">
    <w:name w:val="index heading"/>
    <w:basedOn w:val="Normal"/>
    <w:next w:val="Index1"/>
    <w:semiHidden/>
    <w:rsid w:val="005E0AF6"/>
    <w:pPr>
      <w:spacing w:before="120" w:after="120"/>
    </w:pPr>
    <w:rPr>
      <w:rFonts w:ascii="Arial" w:hAnsi="Arial"/>
      <w:b/>
      <w:color w:val="918585"/>
      <w:sz w:val="24"/>
    </w:rPr>
  </w:style>
  <w:style w:type="paragraph" w:customStyle="1" w:styleId="Chapter">
    <w:name w:val="Chapter"/>
    <w:basedOn w:val="Normal"/>
    <w:rsid w:val="005E0AF6"/>
    <w:pPr>
      <w:spacing w:before="240"/>
    </w:pPr>
    <w:rPr>
      <w:rFonts w:ascii="Times New Roman" w:hAnsi="Times New Roman"/>
      <w:smallCaps/>
      <w:spacing w:val="80"/>
      <w:sz w:val="28"/>
    </w:rPr>
  </w:style>
  <w:style w:type="paragraph" w:customStyle="1" w:styleId="InChapter">
    <w:name w:val="InChapter"/>
    <w:basedOn w:val="Heading3"/>
    <w:rsid w:val="005E0AF6"/>
    <w:pPr>
      <w:spacing w:after="240"/>
      <w:outlineLvl w:val="9"/>
    </w:pPr>
    <w:rPr>
      <w:noProof/>
    </w:rPr>
  </w:style>
  <w:style w:type="paragraph" w:styleId="Index2">
    <w:name w:val="index 2"/>
    <w:basedOn w:val="Normal"/>
    <w:next w:val="Normal"/>
    <w:semiHidden/>
    <w:rsid w:val="005E0AF6"/>
    <w:pPr>
      <w:tabs>
        <w:tab w:val="right" w:pos="4176"/>
      </w:tabs>
      <w:ind w:left="568" w:hanging="284"/>
    </w:pPr>
    <w:rPr>
      <w:rFonts w:ascii="Garamond" w:hAnsi="Garamond"/>
    </w:rPr>
  </w:style>
  <w:style w:type="paragraph" w:customStyle="1" w:styleId="Byline">
    <w:name w:val="Byline"/>
    <w:rsid w:val="005E0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AF6"/>
    <w:pPr>
      <w:tabs>
        <w:tab w:val="clear" w:pos="3600"/>
        <w:tab w:val="clear" w:pos="3958"/>
      </w:tabs>
      <w:jc w:val="right"/>
    </w:pPr>
  </w:style>
  <w:style w:type="character" w:styleId="Emphasis">
    <w:name w:val="Emphasis"/>
    <w:basedOn w:val="DefaultParagraphFont"/>
    <w:qFormat/>
    <w:rsid w:val="005E0AF6"/>
    <w:rPr>
      <w:i/>
    </w:rPr>
  </w:style>
  <w:style w:type="paragraph" w:styleId="Caption">
    <w:name w:val="caption"/>
    <w:basedOn w:val="BodyText"/>
    <w:next w:val="Normal"/>
    <w:qFormat/>
    <w:rsid w:val="005E0AF6"/>
    <w:pPr>
      <w:framePr w:w="2268" w:hSpace="181" w:vSpace="181" w:wrap="around" w:vAnchor="text" w:hAnchor="page" w:x="1135" w:y="285" w:anchorLock="1"/>
    </w:pPr>
    <w:rPr>
      <w:i/>
    </w:rPr>
  </w:style>
  <w:style w:type="paragraph" w:customStyle="1" w:styleId="MiniTOCTitle">
    <w:name w:val="MiniTOCTitle"/>
    <w:basedOn w:val="Heading4"/>
    <w:rsid w:val="005E0AF6"/>
    <w:pPr>
      <w:spacing w:before="240"/>
      <w:outlineLvl w:val="9"/>
    </w:pPr>
    <w:rPr>
      <w:noProof/>
      <w:sz w:val="24"/>
    </w:rPr>
  </w:style>
  <w:style w:type="paragraph" w:customStyle="1" w:styleId="MiniTOCItem">
    <w:name w:val="MiniTOCItem"/>
    <w:basedOn w:val="ListBullet"/>
    <w:rsid w:val="005E0AF6"/>
    <w:pPr>
      <w:numPr>
        <w:numId w:val="0"/>
      </w:numPr>
      <w:tabs>
        <w:tab w:val="right" w:leader="dot" w:pos="6521"/>
      </w:tabs>
      <w:spacing w:before="0" w:after="0"/>
    </w:pPr>
  </w:style>
  <w:style w:type="paragraph" w:customStyle="1" w:styleId="TOFTitle">
    <w:name w:val="TOFTitle"/>
    <w:basedOn w:val="TOCTitle"/>
    <w:rsid w:val="005E0AF6"/>
  </w:style>
  <w:style w:type="paragraph" w:styleId="TableofFigures">
    <w:name w:val="table of figures"/>
    <w:basedOn w:val="Normal"/>
    <w:next w:val="Normal"/>
    <w:semiHidden/>
    <w:rsid w:val="005E0AF6"/>
    <w:pPr>
      <w:tabs>
        <w:tab w:val="right" w:leader="dot" w:pos="9072"/>
      </w:tabs>
      <w:ind w:left="970" w:hanging="403"/>
    </w:pPr>
    <w:rPr>
      <w:rFonts w:ascii="Times New Roman" w:hAnsi="Times New Roman"/>
      <w:b/>
    </w:rPr>
  </w:style>
  <w:style w:type="paragraph" w:styleId="ListNumber">
    <w:name w:val="List Number"/>
    <w:basedOn w:val="List"/>
    <w:rsid w:val="005E0AF6"/>
    <w:pPr>
      <w:numPr>
        <w:numId w:val="11"/>
      </w:numPr>
    </w:pPr>
  </w:style>
  <w:style w:type="character" w:customStyle="1" w:styleId="WingdingSymbols">
    <w:name w:val="Wingding Symbols"/>
    <w:rsid w:val="005E0AF6"/>
    <w:rPr>
      <w:rFonts w:ascii="Wingdings" w:hAnsi="Wingdings"/>
    </w:rPr>
  </w:style>
  <w:style w:type="paragraph" w:customStyle="1" w:styleId="TableHeading">
    <w:name w:val="Table Heading"/>
    <w:basedOn w:val="HeadingBase"/>
    <w:rsid w:val="005E0AF6"/>
    <w:pPr>
      <w:keepLines/>
      <w:pBdr>
        <w:bottom w:val="single" w:sz="6" w:space="1" w:color="918585"/>
      </w:pBdr>
      <w:spacing w:before="240"/>
    </w:pPr>
  </w:style>
  <w:style w:type="character" w:customStyle="1" w:styleId="HotSpot">
    <w:name w:val="HotSpot"/>
    <w:rsid w:val="005E0AF6"/>
    <w:rPr>
      <w:color w:val="0033CC"/>
      <w:u w:val="none"/>
    </w:rPr>
  </w:style>
  <w:style w:type="paragraph" w:customStyle="1" w:styleId="BodyTextRight">
    <w:name w:val="Body Text Right"/>
    <w:basedOn w:val="BodyText"/>
    <w:rsid w:val="005E0AF6"/>
    <w:pPr>
      <w:spacing w:before="0" w:after="0"/>
      <w:jc w:val="right"/>
    </w:pPr>
  </w:style>
  <w:style w:type="paragraph" w:styleId="Index3">
    <w:name w:val="index 3"/>
    <w:basedOn w:val="ListNumber2"/>
    <w:next w:val="Normal"/>
    <w:semiHidden/>
    <w:rsid w:val="005E0AF6"/>
    <w:pPr>
      <w:numPr>
        <w:numId w:val="0"/>
      </w:numPr>
      <w:tabs>
        <w:tab w:val="right" w:leader="dot" w:pos="4176"/>
      </w:tabs>
    </w:pPr>
  </w:style>
  <w:style w:type="paragraph" w:styleId="ListNumber2">
    <w:name w:val="List Number 2"/>
    <w:basedOn w:val="List2"/>
    <w:rsid w:val="005E0AF6"/>
    <w:pPr>
      <w:numPr>
        <w:numId w:val="10"/>
      </w:numPr>
      <w:tabs>
        <w:tab w:val="clear" w:pos="1060"/>
      </w:tabs>
    </w:pPr>
  </w:style>
  <w:style w:type="paragraph" w:customStyle="1" w:styleId="MarginNote">
    <w:name w:val="Margin Note"/>
    <w:basedOn w:val="BodyText"/>
    <w:rsid w:val="005E0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AF6"/>
    <w:rPr>
      <w:sz w:val="32"/>
    </w:rPr>
  </w:style>
  <w:style w:type="paragraph" w:customStyle="1" w:styleId="HeadingProcedure">
    <w:name w:val="Heading Procedure"/>
    <w:basedOn w:val="HeadingBase"/>
    <w:next w:val="Normal"/>
    <w:rsid w:val="005E0AF6"/>
    <w:pPr>
      <w:tabs>
        <w:tab w:val="left" w:pos="0"/>
      </w:tabs>
      <w:spacing w:before="120" w:after="60"/>
    </w:pPr>
    <w:rPr>
      <w:i/>
      <w:color w:val="918585"/>
      <w:sz w:val="22"/>
    </w:rPr>
  </w:style>
  <w:style w:type="paragraph" w:customStyle="1" w:styleId="TableBodyText">
    <w:name w:val="Table Body Text"/>
    <w:basedOn w:val="BodyText"/>
    <w:rsid w:val="005E0AF6"/>
    <w:pPr>
      <w:spacing w:before="60" w:after="60"/>
    </w:pPr>
  </w:style>
  <w:style w:type="paragraph" w:styleId="ListContinue">
    <w:name w:val="List Continue"/>
    <w:basedOn w:val="List"/>
    <w:rsid w:val="005E0AF6"/>
    <w:pPr>
      <w:ind w:firstLine="0"/>
    </w:pPr>
  </w:style>
  <w:style w:type="paragraph" w:customStyle="1" w:styleId="ListNote">
    <w:name w:val="List Note"/>
    <w:basedOn w:val="List"/>
    <w:rsid w:val="005E0AF6"/>
    <w:pPr>
      <w:pBdr>
        <w:top w:val="single" w:sz="6" w:space="2" w:color="918585"/>
        <w:bottom w:val="single" w:sz="6" w:space="2" w:color="918585"/>
      </w:pBdr>
      <w:tabs>
        <w:tab w:val="left" w:pos="1021"/>
      </w:tabs>
      <w:ind w:firstLine="0"/>
    </w:pPr>
  </w:style>
  <w:style w:type="paragraph" w:customStyle="1" w:styleId="Warning">
    <w:name w:val="Warning"/>
    <w:basedOn w:val="BodyText"/>
    <w:rsid w:val="005E0AF6"/>
    <w:pPr>
      <w:shd w:val="clear" w:color="auto" w:fill="D9D9D9"/>
      <w:tabs>
        <w:tab w:val="left" w:pos="992"/>
      </w:tabs>
      <w:ind w:left="119" w:right="119"/>
    </w:pPr>
    <w:rPr>
      <w:sz w:val="20"/>
    </w:rPr>
  </w:style>
  <w:style w:type="paragraph" w:customStyle="1" w:styleId="MarginIcons">
    <w:name w:val="Margin Icons"/>
    <w:basedOn w:val="BodyText"/>
    <w:rsid w:val="005E0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AF6"/>
    <w:rPr>
      <w:rFonts w:ascii="Courier New" w:hAnsi="Courier New"/>
    </w:rPr>
  </w:style>
  <w:style w:type="paragraph" w:customStyle="1" w:styleId="NoteBullet">
    <w:name w:val="Note Bullet"/>
    <w:basedOn w:val="Note"/>
    <w:rsid w:val="005E0AF6"/>
    <w:pPr>
      <w:tabs>
        <w:tab w:val="clear" w:pos="680"/>
      </w:tabs>
      <w:spacing w:before="60" w:after="60"/>
    </w:pPr>
  </w:style>
  <w:style w:type="paragraph" w:customStyle="1" w:styleId="SubHeading2">
    <w:name w:val="SubHeading2"/>
    <w:basedOn w:val="HeadingBase"/>
    <w:rsid w:val="005E0AF6"/>
    <w:pPr>
      <w:spacing w:before="240" w:after="60"/>
    </w:pPr>
    <w:rPr>
      <w:sz w:val="20"/>
    </w:rPr>
  </w:style>
  <w:style w:type="paragraph" w:customStyle="1" w:styleId="SubHeading1">
    <w:name w:val="SubHeading1"/>
    <w:basedOn w:val="HeadingBase"/>
    <w:rsid w:val="005E0AF6"/>
    <w:pPr>
      <w:spacing w:before="240" w:after="60"/>
    </w:pPr>
    <w:rPr>
      <w:color w:val="918585"/>
      <w:sz w:val="22"/>
    </w:rPr>
  </w:style>
  <w:style w:type="paragraph" w:customStyle="1" w:styleId="SideHeading">
    <w:name w:val="Side Heading"/>
    <w:basedOn w:val="HeadingBase"/>
    <w:rsid w:val="005E0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AF6"/>
    <w:pPr>
      <w:numPr>
        <w:numId w:val="12"/>
      </w:numPr>
    </w:pPr>
  </w:style>
  <w:style w:type="paragraph" w:styleId="PlainText">
    <w:name w:val="Plain Text"/>
    <w:basedOn w:val="Normal"/>
    <w:link w:val="PlainTextChar"/>
    <w:rsid w:val="005E0AF6"/>
    <w:rPr>
      <w:sz w:val="20"/>
    </w:rPr>
  </w:style>
  <w:style w:type="character" w:customStyle="1" w:styleId="PlainTextChar">
    <w:name w:val="Plain Text Char"/>
    <w:basedOn w:val="DefaultParagraphFont"/>
    <w:link w:val="PlainText"/>
    <w:rsid w:val="005E0A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AF6"/>
    <w:rPr>
      <w:b/>
      <w:smallCaps/>
    </w:rPr>
  </w:style>
  <w:style w:type="paragraph" w:customStyle="1" w:styleId="TableListNumber">
    <w:name w:val="Table List Number"/>
    <w:basedOn w:val="ListNumber"/>
    <w:rsid w:val="005E0AF6"/>
    <w:pPr>
      <w:numPr>
        <w:numId w:val="0"/>
      </w:numPr>
    </w:pPr>
  </w:style>
  <w:style w:type="paragraph" w:styleId="TOC4">
    <w:name w:val="toc 4"/>
    <w:basedOn w:val="TOCBase"/>
    <w:next w:val="Normal"/>
    <w:semiHidden/>
    <w:rsid w:val="005E0AF6"/>
    <w:pPr>
      <w:tabs>
        <w:tab w:val="right" w:leader="dot" w:pos="9071"/>
      </w:tabs>
      <w:ind w:left="1701"/>
    </w:pPr>
  </w:style>
  <w:style w:type="paragraph" w:customStyle="1" w:styleId="ListAlpha">
    <w:name w:val="List Alpha"/>
    <w:basedOn w:val="List"/>
    <w:rsid w:val="005E0AF6"/>
    <w:pPr>
      <w:numPr>
        <w:numId w:val="9"/>
      </w:numPr>
    </w:pPr>
  </w:style>
  <w:style w:type="paragraph" w:customStyle="1" w:styleId="ListAlpha2">
    <w:name w:val="List Alpha 2"/>
    <w:basedOn w:val="List2"/>
    <w:rsid w:val="005E0AF6"/>
    <w:pPr>
      <w:numPr>
        <w:numId w:val="8"/>
      </w:numPr>
    </w:pPr>
  </w:style>
  <w:style w:type="paragraph" w:styleId="List3">
    <w:name w:val="List 3"/>
    <w:basedOn w:val="BodyText"/>
    <w:rsid w:val="005E0AF6"/>
    <w:pPr>
      <w:tabs>
        <w:tab w:val="left" w:pos="1021"/>
      </w:tabs>
      <w:spacing w:before="60" w:after="60"/>
      <w:ind w:left="1020" w:hanging="340"/>
    </w:pPr>
  </w:style>
  <w:style w:type="paragraph" w:styleId="List4">
    <w:name w:val="List 4"/>
    <w:basedOn w:val="BodyText"/>
    <w:rsid w:val="005E0AF6"/>
    <w:pPr>
      <w:tabs>
        <w:tab w:val="left" w:pos="1361"/>
      </w:tabs>
      <w:spacing w:before="60" w:after="60"/>
      <w:ind w:left="1361" w:hanging="340"/>
    </w:pPr>
  </w:style>
  <w:style w:type="paragraph" w:styleId="List5">
    <w:name w:val="List 5"/>
    <w:basedOn w:val="BodyText"/>
    <w:rsid w:val="005E0AF6"/>
    <w:pPr>
      <w:tabs>
        <w:tab w:val="left" w:pos="1701"/>
      </w:tabs>
      <w:spacing w:before="60" w:after="60"/>
      <w:ind w:left="1701" w:hanging="340"/>
    </w:pPr>
  </w:style>
  <w:style w:type="paragraph" w:styleId="ListBullet3">
    <w:name w:val="List Bullet 3"/>
    <w:basedOn w:val="List3"/>
    <w:rsid w:val="005E0AF6"/>
    <w:pPr>
      <w:numPr>
        <w:numId w:val="15"/>
      </w:numPr>
      <w:tabs>
        <w:tab w:val="clear" w:pos="1021"/>
      </w:tabs>
      <w:ind w:left="1037" w:hanging="357"/>
    </w:pPr>
  </w:style>
  <w:style w:type="paragraph" w:styleId="ListBullet4">
    <w:name w:val="List Bullet 4"/>
    <w:basedOn w:val="List4"/>
    <w:rsid w:val="005E0AF6"/>
    <w:pPr>
      <w:numPr>
        <w:numId w:val="3"/>
      </w:numPr>
    </w:pPr>
  </w:style>
  <w:style w:type="paragraph" w:styleId="ListBullet5">
    <w:name w:val="List Bullet 5"/>
    <w:basedOn w:val="List5"/>
    <w:rsid w:val="005E0AF6"/>
    <w:pPr>
      <w:numPr>
        <w:numId w:val="4"/>
      </w:numPr>
    </w:pPr>
  </w:style>
  <w:style w:type="paragraph" w:styleId="ListContinue2">
    <w:name w:val="List Continue 2"/>
    <w:basedOn w:val="List2"/>
    <w:rsid w:val="005E0AF6"/>
    <w:pPr>
      <w:ind w:firstLine="0"/>
    </w:pPr>
  </w:style>
  <w:style w:type="paragraph" w:styleId="ListContinue3">
    <w:name w:val="List Continue 3"/>
    <w:basedOn w:val="List3"/>
    <w:rsid w:val="005E0AF6"/>
    <w:pPr>
      <w:ind w:left="1021" w:firstLine="0"/>
    </w:pPr>
  </w:style>
  <w:style w:type="paragraph" w:styleId="ListContinue4">
    <w:name w:val="List Continue 4"/>
    <w:basedOn w:val="List4"/>
    <w:rsid w:val="005E0AF6"/>
    <w:pPr>
      <w:ind w:firstLine="0"/>
    </w:pPr>
  </w:style>
  <w:style w:type="paragraph" w:styleId="ListContinue5">
    <w:name w:val="List Continue 5"/>
    <w:basedOn w:val="List5"/>
    <w:rsid w:val="005E0AF6"/>
    <w:pPr>
      <w:ind w:firstLine="0"/>
    </w:pPr>
  </w:style>
  <w:style w:type="paragraph" w:styleId="ListNumber3">
    <w:name w:val="List Number 3"/>
    <w:basedOn w:val="List3"/>
    <w:rsid w:val="005E0AF6"/>
    <w:pPr>
      <w:numPr>
        <w:numId w:val="5"/>
      </w:numPr>
    </w:pPr>
  </w:style>
  <w:style w:type="paragraph" w:styleId="ListNumber4">
    <w:name w:val="List Number 4"/>
    <w:basedOn w:val="List4"/>
    <w:rsid w:val="005E0AF6"/>
    <w:pPr>
      <w:numPr>
        <w:numId w:val="6"/>
      </w:numPr>
    </w:pPr>
  </w:style>
  <w:style w:type="paragraph" w:styleId="ListNumber5">
    <w:name w:val="List Number 5"/>
    <w:basedOn w:val="List5"/>
    <w:rsid w:val="005E0AF6"/>
    <w:pPr>
      <w:numPr>
        <w:numId w:val="7"/>
      </w:numPr>
    </w:pPr>
  </w:style>
  <w:style w:type="paragraph" w:styleId="BlockText">
    <w:name w:val="Block Text"/>
    <w:basedOn w:val="Normal"/>
    <w:rsid w:val="005E0AF6"/>
    <w:pPr>
      <w:spacing w:after="120"/>
      <w:ind w:left="1440" w:right="1440"/>
    </w:pPr>
  </w:style>
  <w:style w:type="character" w:customStyle="1" w:styleId="Subscript">
    <w:name w:val="Subscript"/>
    <w:basedOn w:val="DefaultParagraphFont"/>
    <w:rsid w:val="005E0AF6"/>
    <w:rPr>
      <w:sz w:val="16"/>
      <w:vertAlign w:val="subscript"/>
    </w:rPr>
  </w:style>
  <w:style w:type="character" w:customStyle="1" w:styleId="Superscript">
    <w:name w:val="Superscript"/>
    <w:basedOn w:val="DefaultParagraphFont"/>
    <w:rsid w:val="005E0AF6"/>
    <w:rPr>
      <w:sz w:val="16"/>
      <w:vertAlign w:val="superscript"/>
    </w:rPr>
  </w:style>
  <w:style w:type="character" w:customStyle="1" w:styleId="Symbols">
    <w:name w:val="Symbols"/>
    <w:basedOn w:val="DefaultParagraphFont"/>
    <w:rsid w:val="005E0AF6"/>
    <w:rPr>
      <w:rFonts w:ascii="Symbol" w:hAnsi="Symbol"/>
    </w:rPr>
  </w:style>
  <w:style w:type="character" w:customStyle="1" w:styleId="MenuOptions">
    <w:name w:val="Menu Options"/>
    <w:basedOn w:val="DefaultParagraphFont"/>
    <w:rsid w:val="005E0AF6"/>
    <w:rPr>
      <w:rFonts w:ascii="Arial Narrow" w:hAnsi="Arial Narrow"/>
      <w:smallCaps/>
    </w:rPr>
  </w:style>
  <w:style w:type="character" w:customStyle="1" w:styleId="Buttons">
    <w:name w:val="Buttons"/>
    <w:basedOn w:val="DefaultParagraphFont"/>
    <w:rsid w:val="005E0AF6"/>
    <w:rPr>
      <w:b/>
    </w:rPr>
  </w:style>
  <w:style w:type="character" w:customStyle="1" w:styleId="Underlined">
    <w:name w:val="Underlined"/>
    <w:basedOn w:val="DefaultParagraphFont"/>
    <w:rsid w:val="005E0AF6"/>
    <w:rPr>
      <w:u w:val="single"/>
    </w:rPr>
  </w:style>
  <w:style w:type="paragraph" w:customStyle="1" w:styleId="TableBodyTextRight">
    <w:name w:val="Table Body Text Right"/>
    <w:basedOn w:val="TableBodyText"/>
    <w:rsid w:val="005E0AF6"/>
    <w:pPr>
      <w:widowControl w:val="0"/>
      <w:autoSpaceDE w:val="0"/>
      <w:autoSpaceDN w:val="0"/>
      <w:adjustRightInd w:val="0"/>
      <w:jc w:val="right"/>
    </w:pPr>
    <w:rPr>
      <w:rFonts w:cs="Arial"/>
      <w:szCs w:val="18"/>
    </w:rPr>
  </w:style>
  <w:style w:type="paragraph" w:customStyle="1" w:styleId="CopyrightText">
    <w:name w:val="Copyright Text"/>
    <w:basedOn w:val="BodyText"/>
    <w:rsid w:val="005E0AF6"/>
    <w:rPr>
      <w:sz w:val="18"/>
    </w:rPr>
  </w:style>
  <w:style w:type="paragraph" w:customStyle="1" w:styleId="BodySmallRight">
    <w:name w:val="Body Small Right"/>
    <w:basedOn w:val="BodyTextRight"/>
    <w:rsid w:val="005E0AF6"/>
    <w:rPr>
      <w:sz w:val="18"/>
      <w:szCs w:val="18"/>
    </w:rPr>
  </w:style>
  <w:style w:type="paragraph" w:customStyle="1" w:styleId="MarginEdition">
    <w:name w:val="Margin Edition"/>
    <w:basedOn w:val="MarginNote"/>
    <w:rsid w:val="005E0AF6"/>
    <w:pPr>
      <w:spacing w:before="0" w:after="0"/>
    </w:pPr>
    <w:rPr>
      <w:rFonts w:ascii="Times New Roman" w:hAnsi="Times New Roman"/>
      <w:color w:val="999999"/>
    </w:rPr>
  </w:style>
  <w:style w:type="paragraph" w:customStyle="1" w:styleId="Spacer">
    <w:name w:val="Spacer"/>
    <w:basedOn w:val="Normal"/>
    <w:rsid w:val="005E0AF6"/>
    <w:rPr>
      <w:sz w:val="2"/>
      <w:szCs w:val="2"/>
    </w:rPr>
  </w:style>
  <w:style w:type="character" w:customStyle="1" w:styleId="Small">
    <w:name w:val="Small"/>
    <w:basedOn w:val="DefaultParagraphFont"/>
    <w:rsid w:val="005E0AF6"/>
    <w:rPr>
      <w:sz w:val="16"/>
    </w:rPr>
  </w:style>
  <w:style w:type="paragraph" w:customStyle="1" w:styleId="WideTable">
    <w:name w:val="Wide Table"/>
    <w:basedOn w:val="Normal"/>
    <w:rsid w:val="005E0AF6"/>
    <w:pPr>
      <w:ind w:left="-1418"/>
    </w:pPr>
    <w:rPr>
      <w:sz w:val="2"/>
      <w:szCs w:val="2"/>
    </w:rPr>
  </w:style>
  <w:style w:type="character" w:styleId="PageNumber">
    <w:name w:val="page number"/>
    <w:basedOn w:val="DefaultParagraphFont"/>
    <w:rsid w:val="005E0AF6"/>
  </w:style>
  <w:style w:type="paragraph" w:styleId="Quote">
    <w:name w:val="Quote"/>
    <w:basedOn w:val="Heading1"/>
    <w:link w:val="QuoteChar"/>
    <w:qFormat/>
    <w:rsid w:val="005E0AF6"/>
    <w:rPr>
      <w:b w:val="0"/>
      <w:sz w:val="72"/>
      <w:szCs w:val="72"/>
      <w:lang w:val="en-NZ"/>
    </w:rPr>
  </w:style>
  <w:style w:type="character" w:customStyle="1" w:styleId="QuoteChar">
    <w:name w:val="Quote Char"/>
    <w:basedOn w:val="DefaultParagraphFont"/>
    <w:link w:val="Quote"/>
    <w:rsid w:val="005E0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AF6"/>
    <w:pPr>
      <w:pageBreakBefore/>
    </w:pPr>
  </w:style>
  <w:style w:type="paragraph" w:customStyle="1" w:styleId="Border">
    <w:name w:val="Border"/>
    <w:basedOn w:val="Normal"/>
    <w:qFormat/>
    <w:rsid w:val="005E0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AF6"/>
    <w:rPr>
      <w:b/>
      <w:bCs/>
      <w:i/>
      <w:iCs/>
      <w:color w:val="auto"/>
    </w:rPr>
  </w:style>
  <w:style w:type="paragraph" w:styleId="IntenseQuote">
    <w:name w:val="Intense Quote"/>
    <w:basedOn w:val="Normal"/>
    <w:next w:val="Normal"/>
    <w:link w:val="IntenseQuoteChar"/>
    <w:uiPriority w:val="30"/>
    <w:qFormat/>
    <w:rsid w:val="005E0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A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AF6"/>
    <w:rPr>
      <w:smallCaps/>
      <w:color w:val="auto"/>
      <w:u w:val="single"/>
    </w:rPr>
  </w:style>
  <w:style w:type="character" w:styleId="IntenseReference">
    <w:name w:val="Intense Reference"/>
    <w:basedOn w:val="DefaultParagraphFont"/>
    <w:uiPriority w:val="32"/>
    <w:qFormat/>
    <w:rsid w:val="005E0AF6"/>
    <w:rPr>
      <w:b/>
      <w:bCs/>
      <w:smallCaps/>
      <w:color w:val="auto"/>
      <w:spacing w:val="5"/>
      <w:u w:val="single"/>
    </w:rPr>
  </w:style>
  <w:style w:type="paragraph" w:customStyle="1" w:styleId="2ColumnHeading">
    <w:name w:val="2Column Heading"/>
    <w:basedOn w:val="BodyText"/>
    <w:qFormat/>
    <w:rsid w:val="005E0AF6"/>
    <w:pPr>
      <w:spacing w:after="60"/>
      <w:ind w:left="-2268"/>
    </w:pPr>
    <w:rPr>
      <w:b/>
    </w:rPr>
  </w:style>
  <w:style w:type="paragraph" w:customStyle="1" w:styleId="Heading1TOC">
    <w:name w:val="Heading1 TOC"/>
    <w:basedOn w:val="Normal"/>
    <w:qFormat/>
    <w:rsid w:val="005E0AF6"/>
    <w:pPr>
      <w:spacing w:before="240" w:after="120"/>
    </w:pPr>
    <w:rPr>
      <w:rFonts w:ascii="Times New Roman" w:hAnsi="Times New Roman"/>
      <w:b/>
      <w:sz w:val="32"/>
    </w:rPr>
  </w:style>
  <w:style w:type="paragraph" w:customStyle="1" w:styleId="Heading2TOC">
    <w:name w:val="Heading2 TOC"/>
    <w:basedOn w:val="Normal"/>
    <w:qFormat/>
    <w:rsid w:val="005E0AF6"/>
    <w:pPr>
      <w:spacing w:before="240" w:after="60"/>
    </w:pPr>
    <w:rPr>
      <w:rFonts w:ascii="Times New Roman" w:hAnsi="Times New Roman"/>
      <w:b/>
      <w:sz w:val="28"/>
    </w:rPr>
  </w:style>
  <w:style w:type="character" w:customStyle="1" w:styleId="Underline">
    <w:name w:val="Underline"/>
    <w:basedOn w:val="DefaultParagraphFont"/>
    <w:qFormat/>
    <w:rsid w:val="005E0AF6"/>
    <w:rPr>
      <w:u w:val="single"/>
    </w:rPr>
  </w:style>
  <w:style w:type="character" w:customStyle="1" w:styleId="BoldandItalics">
    <w:name w:val="Bold and Italics"/>
    <w:qFormat/>
    <w:rsid w:val="005E0AF6"/>
    <w:rPr>
      <w:b/>
      <w:i/>
      <w:u w:val="none"/>
    </w:rPr>
  </w:style>
  <w:style w:type="paragraph" w:styleId="BalloonText">
    <w:name w:val="Balloon Text"/>
    <w:basedOn w:val="Normal"/>
    <w:link w:val="BalloonTextChar"/>
    <w:rsid w:val="005E0AF6"/>
    <w:rPr>
      <w:rFonts w:ascii="Tahoma" w:hAnsi="Tahoma" w:cs="Tahoma"/>
      <w:sz w:val="16"/>
      <w:szCs w:val="16"/>
    </w:rPr>
  </w:style>
  <w:style w:type="character" w:customStyle="1" w:styleId="BalloonTextChar">
    <w:name w:val="Balloon Text Char"/>
    <w:basedOn w:val="DefaultParagraphFont"/>
    <w:link w:val="BalloonText"/>
    <w:rsid w:val="005E0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A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A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8095</Characters>
  <Application>Microsoft Office Word</Application>
  <DocSecurity>0</DocSecurity>
  <Lines>290</Lines>
  <Paragraphs>153</Paragraphs>
  <ScaleCrop>false</ScaleCrop>
  <Company>Author-it Software Corporation Ltd.</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PMC552007B Heat accelerate the curing of precast concrete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