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540" w:rsidP="005F7540">
      <w:pPr>
        <w:pStyle w:val="Title"/>
      </w:pPr>
      <w:r>
        <w:fldChar w:fldCharType="begin"/>
      </w:r>
      <w:r>
        <w:instrText xml:space="preserve"> TITLE   \* MERGEFORMAT </w:instrText>
      </w:r>
      <w:r>
        <w:fldChar w:fldCharType="separate"/>
      </w:r>
      <w:r>
        <w:t>PMC552005C Process greenware/green products</w:t>
      </w:r>
      <w:r>
        <w:fldChar w:fldCharType="end"/>
      </w:r>
    </w:p>
    <w:p w:rsidR="005F7540" w:rsidP="005F7540">
      <w:pPr>
        <w:pStyle w:val="Version"/>
        <w:sectPr w:rsidSect="00BC0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C00EE" w:rsidP="00BC00EE">
      <w:pPr>
        <w:pStyle w:val="SuperHeading"/>
      </w:pPr>
      <w:r w:rsidRPr="00BC00EE">
        <w:t>PMC552005C Process greenware/green products</w:t>
      </w:r>
    </w:p>
    <w:p w:rsidR="00000000" w:rsidRPr="00BC00EE" w:rsidP="00BC00EE">
      <w:pPr>
        <w:pStyle w:val="Heading1"/>
      </w:pPr>
      <w:bookmarkStart w:id="1" w:name="O_109995"/>
      <w:bookmarkEnd w:id="1"/>
      <w:r w:rsidRPr="00BC00EE">
        <w:t>Modification History</w:t>
      </w:r>
    </w:p>
    <w:p w:rsidR="00000000" w:rsidRPr="00BC00EE" w:rsidP="00BC00EE">
      <w:pPr>
        <w:pStyle w:val="BodyText"/>
      </w:pPr>
      <w:r w:rsidRPr="00BC00EE">
        <w:t>Not applicable.</w:t>
      </w:r>
    </w:p>
    <w:p w:rsidR="00000000" w:rsidRPr="00BC00EE" w:rsidP="00BC00EE">
      <w:pPr>
        <w:pStyle w:val="AllowPageBreak"/>
      </w:pPr>
    </w:p>
    <w:p w:rsidR="00000000" w:rsidRPr="00BC00EE" w:rsidP="00BC00EE">
      <w:pPr>
        <w:pStyle w:val="Heading1"/>
      </w:pPr>
      <w:bookmarkStart w:id="2" w:name="O_109996"/>
      <w:bookmarkEnd w:id="2"/>
      <w:r w:rsidRPr="00BC00EE">
        <w:t>Unit Descriptor</w:t>
      </w:r>
    </w:p>
    <w:tbl>
      <w:tblPr>
        <w:tblW w:w="0" w:type="auto"/>
        <w:tblLayout w:type="fixed"/>
        <w:tblCellMar>
          <w:left w:w="62" w:type="dxa"/>
          <w:right w:w="62" w:type="dxa"/>
        </w:tblCellMar>
        <w:tblLook w:val="0000"/>
      </w:tblPr>
      <w:tblGrid>
        <w:gridCol w:w="2669"/>
        <w:gridCol w:w="5853"/>
      </w:tblGrid>
      <w:tr w:rsidTr="005F7540">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 xml:space="preserve">This unit of competency covers the drying, preparation and other processing of greenware or green products. It involves preparing equipment, loading products, monitoring </w:t>
            </w:r>
            <w:r w:rsidRPr="00BC00EE">
              <w:t>drying, resolving routine problems and ensuring finished product is to specification.</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3" w:name="O_109997"/>
      <w:bookmarkEnd w:id="3"/>
      <w:r w:rsidRPr="00BC00EE">
        <w:t>Application of the Unit</w:t>
      </w:r>
    </w:p>
    <w:tbl>
      <w:tblPr>
        <w:tblW w:w="0" w:type="auto"/>
        <w:tblLayout w:type="fixed"/>
        <w:tblCellMar>
          <w:left w:w="62" w:type="dxa"/>
          <w:right w:w="62" w:type="dxa"/>
        </w:tblCellMar>
        <w:tblLook w:val="0000"/>
      </w:tblPr>
      <w:tblGrid>
        <w:gridCol w:w="2753"/>
        <w:gridCol w:w="5769"/>
      </w:tblGrid>
      <w:tr w:rsidTr="005F754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 xml:space="preserve">This unit of competency applies to operators who are responsible for conducting activities relevant to </w:t>
            </w:r>
            <w:r w:rsidRPr="00BC00EE">
              <w:t>the preparation and processing of greenware or green products.</w:t>
            </w:r>
          </w:p>
          <w:p w:rsidR="00000000" w:rsidRPr="00BC00EE" w:rsidP="00BC00EE">
            <w:pPr>
              <w:pStyle w:val="BodyText"/>
            </w:pPr>
            <w:r w:rsidRPr="00BC00EE">
              <w:t>It does NOT cover the firing of products in a kiln or similar firing equipment. It does cover warmed or heated curing areas.</w:t>
            </w:r>
          </w:p>
          <w:p w:rsidR="00000000" w:rsidRPr="00BC00EE" w:rsidP="00BC00EE">
            <w:pPr>
              <w:pStyle w:val="BodyText"/>
            </w:pPr>
            <w:r w:rsidRPr="00BC00EE">
              <w:t xml:space="preserve">This unit of competency is typically performed by operators working </w:t>
            </w:r>
            <w:r w:rsidRPr="00BC00EE">
              <w:t>either independently or as part of a team.</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4" w:name="O_109998"/>
      <w:bookmarkEnd w:id="4"/>
      <w:r w:rsidRPr="00BC00EE">
        <w:t>Licensing/Regulatory Information</w:t>
      </w:r>
    </w:p>
    <w:p w:rsidR="00000000" w:rsidRPr="00BC00EE" w:rsidP="00BC00EE">
      <w:pPr>
        <w:pStyle w:val="BodyText"/>
      </w:pPr>
      <w:r w:rsidRPr="00BC00EE">
        <w:t>Not applicable.</w:t>
      </w:r>
    </w:p>
    <w:p w:rsidR="00000000" w:rsidRPr="00BC00EE" w:rsidP="00BC00EE">
      <w:pPr>
        <w:pStyle w:val="AllowPageBreak"/>
      </w:pPr>
    </w:p>
    <w:p w:rsidR="00000000" w:rsidRPr="00BC00EE" w:rsidP="00BC00EE">
      <w:pPr>
        <w:pStyle w:val="Heading1"/>
      </w:pPr>
      <w:bookmarkStart w:id="5" w:name="O_109999"/>
      <w:bookmarkEnd w:id="5"/>
      <w:r w:rsidRPr="00BC00EE">
        <w:t>Pre-Requisites</w:t>
      </w:r>
    </w:p>
    <w:tbl>
      <w:tblPr>
        <w:tblW w:w="0" w:type="auto"/>
        <w:tblLayout w:type="fixed"/>
        <w:tblCellMar>
          <w:left w:w="62" w:type="dxa"/>
          <w:right w:w="62" w:type="dxa"/>
        </w:tblCellMar>
        <w:tblLook w:val="0000"/>
      </w:tblPr>
      <w:tblGrid>
        <w:gridCol w:w="2775"/>
        <w:gridCol w:w="1295"/>
        <w:gridCol w:w="4452"/>
      </w:tblGrid>
      <w:tr w:rsidTr="005F75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p>
        </w:tc>
      </w:tr>
      <w:tr w:rsidTr="005F75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p>
        </w:tc>
      </w:tr>
      <w:tr w:rsidTr="005F75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6" w:name="O_110000"/>
      <w:bookmarkEnd w:id="6"/>
      <w:r w:rsidRPr="00BC00EE">
        <w:t>Employability Skills Information</w:t>
      </w:r>
    </w:p>
    <w:tbl>
      <w:tblPr>
        <w:tblW w:w="0" w:type="auto"/>
        <w:tblLayout w:type="fixed"/>
        <w:tblCellMar>
          <w:left w:w="62" w:type="dxa"/>
          <w:right w:w="62" w:type="dxa"/>
        </w:tblCellMar>
        <w:tblLook w:val="0000"/>
      </w:tblPr>
      <w:tblGrid>
        <w:gridCol w:w="2802"/>
        <w:gridCol w:w="5720"/>
      </w:tblGrid>
      <w:tr w:rsidTr="005F75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This</w:t>
            </w:r>
            <w:r w:rsidRPr="00BC00EE">
              <w:t xml:space="preserve"> unit contains employability skills.</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7" w:name="O_110001"/>
      <w:bookmarkEnd w:id="7"/>
      <w:r w:rsidRPr="00BC00EE">
        <w:t>Elements and Performance Criteria Pre-Content</w:t>
      </w:r>
    </w:p>
    <w:tbl>
      <w:tblPr>
        <w:tblW w:w="0" w:type="auto"/>
        <w:tblLayout w:type="fixed"/>
        <w:tblCellMar>
          <w:left w:w="62" w:type="dxa"/>
          <w:right w:w="62" w:type="dxa"/>
        </w:tblCellMar>
        <w:tblLook w:val="0000"/>
      </w:tblPr>
      <w:tblGrid>
        <w:gridCol w:w="2563"/>
        <w:gridCol w:w="5959"/>
      </w:tblGrid>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Performance criteria describe the performance needed to demonstrate achievement of the e</w:t>
            </w:r>
            <w:r w:rsidRPr="00BC00EE">
              <w:t>lement. Where bold italicised text is used, further information is detailed in the required skills and knowledge section and the range statement. Assessment of performance is to be consistent with the evidence guide.</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8" w:name="O_110002"/>
      <w:bookmarkEnd w:id="8"/>
      <w:r w:rsidRPr="00BC00EE">
        <w:t>Elements and Perfo</w:t>
      </w:r>
      <w:r w:rsidRPr="00BC00EE">
        <w:t>rmance Criteria</w:t>
      </w:r>
    </w:p>
    <w:tbl>
      <w:tblPr>
        <w:tblW w:w="0" w:type="auto"/>
        <w:tblLayout w:type="fixed"/>
        <w:tblCellMar>
          <w:left w:w="62" w:type="dxa"/>
          <w:right w:w="62" w:type="dxa"/>
        </w:tblCellMar>
        <w:tblLook w:val="0000"/>
      </w:tblPr>
      <w:tblGrid>
        <w:gridCol w:w="2563"/>
        <w:gridCol w:w="5959"/>
      </w:tblGrid>
      <w:tr w:rsidTr="005F7540">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PERFORMANCE CRITERIA</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1.</w:t>
            </w:r>
            <w:r w:rsidRPr="00BC00EE">
              <w:tab/>
              <w:t>Prepare the equipment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1.1.</w:t>
            </w:r>
            <w:r w:rsidRPr="00BC00EE">
              <w:tab/>
              <w:t>Determine the requirements from the production program</w:t>
            </w:r>
          </w:p>
          <w:p w:rsidR="00000000" w:rsidRPr="00BC00EE" w:rsidP="00BC00EE">
            <w:pPr>
              <w:pStyle w:val="List2"/>
            </w:pPr>
            <w:r w:rsidRPr="00BC00EE">
              <w:t>1.2.</w:t>
            </w:r>
            <w:r w:rsidRPr="00BC00EE">
              <w:tab/>
              <w:t>Identify and set up the racks, shelves or trolleys</w:t>
            </w:r>
          </w:p>
          <w:p w:rsidR="00000000" w:rsidP="00BC00EE">
            <w:pPr>
              <w:pStyle w:val="List2"/>
              <w:rPr>
                <w:lang w:val="en-NZ"/>
              </w:rPr>
            </w:pPr>
            <w:r w:rsidRPr="00BC00EE">
              <w:t>1.3.</w:t>
            </w:r>
            <w:r w:rsidRPr="00BC00EE">
              <w:tab/>
              <w:t>Ensure the equipment is safe for use</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2.</w:t>
            </w:r>
            <w:r w:rsidRPr="00BC00EE">
              <w:tab/>
              <w:t>Control hazards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2.1.</w:t>
            </w:r>
            <w:r w:rsidRPr="00BC00EE">
              <w:tab/>
            </w:r>
            <w:r w:rsidRPr="00BC00EE">
              <w:t>Identify hazards from the job to be done</w:t>
            </w:r>
          </w:p>
          <w:p w:rsidR="00000000" w:rsidRPr="00BC00EE" w:rsidP="00BC00EE">
            <w:pPr>
              <w:pStyle w:val="List2"/>
            </w:pPr>
            <w:r w:rsidRPr="00BC00EE">
              <w:t>2.2.</w:t>
            </w:r>
            <w:r w:rsidRPr="00BC00EE">
              <w:tab/>
              <w:t>Identify other hazards in the work area</w:t>
            </w:r>
          </w:p>
          <w:p w:rsidR="00000000" w:rsidRPr="00BC00EE" w:rsidP="00BC00EE">
            <w:pPr>
              <w:pStyle w:val="List2"/>
            </w:pPr>
            <w:r w:rsidRPr="00BC00EE">
              <w:t>2.3.</w:t>
            </w:r>
            <w:r w:rsidRPr="00BC00EE">
              <w:tab/>
              <w:t>Assess the risks arising from those hazards</w:t>
            </w:r>
          </w:p>
          <w:p w:rsidR="00000000" w:rsidP="00BC00EE">
            <w:pPr>
              <w:pStyle w:val="List2"/>
              <w:rPr>
                <w:lang w:val="en-NZ"/>
              </w:rPr>
            </w:pPr>
            <w:r w:rsidRPr="00BC00EE">
              <w:t>2.4.</w:t>
            </w:r>
            <w:r w:rsidRPr="00BC00EE">
              <w:tab/>
              <w:t>Implement measures to control those risks in line with procedures</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3.</w:t>
            </w:r>
            <w:r w:rsidRPr="00BC00EE">
              <w:tab/>
              <w:t>Load products for drying/curing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3.1.</w:t>
            </w:r>
            <w:r w:rsidRPr="00BC00EE">
              <w:tab/>
              <w:t xml:space="preserve">Stack or </w:t>
            </w:r>
            <w:r w:rsidRPr="00BC00EE">
              <w:t>set products to specification</w:t>
            </w:r>
          </w:p>
          <w:p w:rsidR="00000000" w:rsidRPr="00BC00EE" w:rsidP="00BC00EE">
            <w:pPr>
              <w:pStyle w:val="List2"/>
            </w:pPr>
            <w:r w:rsidRPr="00BC00EE">
              <w:t>3.2.</w:t>
            </w:r>
            <w:r w:rsidRPr="00BC00EE">
              <w:tab/>
              <w:t>Ensure correct stacking pattern is used</w:t>
            </w:r>
          </w:p>
          <w:p w:rsidR="00000000" w:rsidRPr="00BC00EE" w:rsidP="00BC00EE">
            <w:pPr>
              <w:pStyle w:val="List2"/>
            </w:pPr>
            <w:r w:rsidRPr="00BC00EE">
              <w:t>3.3.</w:t>
            </w:r>
            <w:r w:rsidRPr="00BC00EE">
              <w:tab/>
              <w:t>Allow adequate space around each item</w:t>
            </w:r>
          </w:p>
          <w:p w:rsidR="00000000" w:rsidP="00BC00EE">
            <w:pPr>
              <w:pStyle w:val="List2"/>
              <w:rPr>
                <w:lang w:val="en-NZ"/>
              </w:rPr>
            </w:pPr>
            <w:r w:rsidRPr="00BC00EE">
              <w:t>3.4.</w:t>
            </w:r>
            <w:r w:rsidRPr="00BC00EE">
              <w:tab/>
              <w:t>Use available space effectively</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4.</w:t>
            </w:r>
            <w:r w:rsidRPr="00BC00EE">
              <w:tab/>
              <w:t>Dry/cure products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4.1.</w:t>
            </w:r>
            <w:r w:rsidRPr="00BC00EE">
              <w:tab/>
              <w:t>Monitor drying equipment and test products to determine correct conditions</w:t>
            </w:r>
          </w:p>
          <w:p w:rsidR="00000000" w:rsidRPr="00BC00EE" w:rsidP="00BC00EE">
            <w:pPr>
              <w:pStyle w:val="List2"/>
            </w:pPr>
            <w:r w:rsidRPr="00BC00EE">
              <w:t>4.2.</w:t>
            </w:r>
            <w:r w:rsidRPr="00BC00EE">
              <w:tab/>
              <w:t>Adjust temperature and humidity to maintain correct conditions</w:t>
            </w:r>
          </w:p>
          <w:p w:rsidR="00000000" w:rsidP="00BC00EE">
            <w:pPr>
              <w:pStyle w:val="List2"/>
              <w:rPr>
                <w:lang w:val="en-NZ"/>
              </w:rPr>
            </w:pPr>
            <w:r w:rsidRPr="00BC00EE">
              <w:t>4.3.</w:t>
            </w:r>
            <w:r w:rsidRPr="00BC00EE">
              <w:tab/>
              <w:t>Remove product from the area and store appropriately</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5.</w:t>
            </w:r>
            <w:r w:rsidRPr="00BC00EE">
              <w:tab/>
              <w:t>Finish green products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5.1.</w:t>
            </w:r>
            <w:r w:rsidRPr="00BC00EE">
              <w:tab/>
              <w:t>Finish products to specifications</w:t>
            </w:r>
          </w:p>
          <w:p w:rsidR="00000000" w:rsidRPr="00BC00EE" w:rsidP="00BC00EE">
            <w:pPr>
              <w:pStyle w:val="List2"/>
            </w:pPr>
            <w:r w:rsidRPr="00BC00EE">
              <w:t>5.2.</w:t>
            </w:r>
            <w:r w:rsidRPr="00BC00EE">
              <w:tab/>
              <w:t>Ensure condition of product is acceptable</w:t>
            </w:r>
          </w:p>
          <w:p w:rsidR="00000000" w:rsidRPr="00BC00EE" w:rsidP="00BC00EE">
            <w:pPr>
              <w:pStyle w:val="List2"/>
            </w:pPr>
            <w:r w:rsidRPr="00BC00EE">
              <w:t>5.3.</w:t>
            </w:r>
            <w:r w:rsidRPr="00BC00EE">
              <w:tab/>
            </w:r>
            <w:r w:rsidRPr="00BC00EE">
              <w:t>Store products in appropriate area</w:t>
            </w:r>
          </w:p>
          <w:p w:rsidR="00000000" w:rsidP="00BC00EE">
            <w:pPr>
              <w:pStyle w:val="List2"/>
              <w:rPr>
                <w:lang w:val="en-NZ"/>
              </w:rPr>
            </w:pPr>
            <w:r w:rsidRPr="00BC00EE">
              <w:t>5.4.</w:t>
            </w:r>
            <w:r w:rsidRPr="00BC00EE">
              <w:tab/>
              <w:t>Repair product and/or report product faults to the designated person.</w:t>
            </w:r>
          </w:p>
        </w:tc>
      </w:tr>
      <w:tr w:rsidTr="005F7540">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List"/>
              <w:rPr>
                <w:lang w:val="en-NZ"/>
              </w:rPr>
            </w:pPr>
            <w:r w:rsidRPr="00BC00EE">
              <w:t>6.</w:t>
            </w:r>
            <w:r w:rsidRPr="00BC00EE">
              <w:tab/>
              <w:t>Rectify routine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List2"/>
            </w:pPr>
            <w:r w:rsidRPr="00BC00EE">
              <w:t>6.1.</w:t>
            </w:r>
            <w:r w:rsidRPr="00BC00EE">
              <w:tab/>
              <w:t>Identify the range of faults that can occur during the operation</w:t>
            </w:r>
          </w:p>
          <w:p w:rsidR="00000000" w:rsidRPr="00BC00EE" w:rsidP="00BC00EE">
            <w:pPr>
              <w:pStyle w:val="List2"/>
            </w:pPr>
            <w:r w:rsidRPr="00BC00EE">
              <w:t>6.2.</w:t>
            </w:r>
            <w:r w:rsidRPr="00BC00EE">
              <w:tab/>
              <w:t>Determine and rectify fault causes in acco</w:t>
            </w:r>
            <w:r w:rsidRPr="00BC00EE">
              <w:t>rdance with procedures</w:t>
            </w:r>
          </w:p>
          <w:p w:rsidR="00000000" w:rsidRPr="00BC00EE" w:rsidP="00BC00EE">
            <w:pPr>
              <w:pStyle w:val="List2"/>
            </w:pPr>
            <w:r w:rsidRPr="00BC00EE">
              <w:t>6.3.</w:t>
            </w:r>
            <w:r w:rsidRPr="00BC00EE">
              <w:tab/>
              <w:t>Identify and rectify equipment failure causes to procedures</w:t>
            </w:r>
          </w:p>
          <w:p w:rsidR="00000000" w:rsidRPr="00BC00EE" w:rsidP="00BC00EE">
            <w:pPr>
              <w:pStyle w:val="List2"/>
            </w:pPr>
            <w:r w:rsidRPr="00BC00EE">
              <w:t>6.4.</w:t>
            </w:r>
            <w:r w:rsidRPr="00BC00EE">
              <w:tab/>
              <w:t>Make sure appropriate records and log books of equipment operations are maintained to meet procedures</w:t>
            </w:r>
          </w:p>
          <w:p w:rsidR="00000000" w:rsidRPr="00BC00EE" w:rsidP="00BC00EE">
            <w:pPr>
              <w:pStyle w:val="List2"/>
            </w:pPr>
            <w:r w:rsidRPr="00BC00EE">
              <w:t>6.5.</w:t>
            </w:r>
            <w:r w:rsidRPr="00BC00EE">
              <w:tab/>
              <w:t>Identify non-routine problems and report to designated p</w:t>
            </w:r>
            <w:r w:rsidRPr="00BC00EE">
              <w:t>erson</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9" w:name="O_110003"/>
      <w:bookmarkEnd w:id="9"/>
      <w:r w:rsidRPr="00BC00EE">
        <w:t>Required Skills and Knowledge</w:t>
      </w:r>
    </w:p>
    <w:tbl>
      <w:tblPr>
        <w:tblW w:w="0" w:type="auto"/>
        <w:tblLayout w:type="fixed"/>
        <w:tblCellMar>
          <w:left w:w="62" w:type="dxa"/>
          <w:right w:w="62" w:type="dxa"/>
        </w:tblCellMar>
        <w:tblLook w:val="0000"/>
      </w:tblPr>
      <w:tblGrid>
        <w:gridCol w:w="8522"/>
      </w:tblGrid>
      <w:tr w:rsidTr="005F75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REQUIRED SKILLS AND KNOWLEDGE</w:t>
            </w:r>
          </w:p>
        </w:tc>
      </w:tr>
      <w:tr w:rsidTr="005F75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This section describes the skills and knowledge required for this unit.</w:t>
            </w:r>
          </w:p>
        </w:tc>
      </w:tr>
      <w:tr w:rsidTr="005F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Required skills</w:t>
            </w:r>
          </w:p>
        </w:tc>
      </w:tr>
      <w:tr w:rsidTr="005F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Required skills include:</w:t>
            </w:r>
          </w:p>
          <w:p w:rsidR="00000000" w:rsidRPr="00BC00EE" w:rsidP="00BC00EE">
            <w:pPr>
              <w:pStyle w:val="ListBullet"/>
            </w:pPr>
            <w:r w:rsidRPr="00BC00EE">
              <w:t>reading from the production schedule</w:t>
            </w:r>
          </w:p>
          <w:p w:rsidR="00000000" w:rsidRPr="00BC00EE" w:rsidP="00BC00EE">
            <w:pPr>
              <w:pStyle w:val="ListBullet"/>
            </w:pPr>
            <w:r w:rsidRPr="00BC00EE">
              <w:t>stacking greenware to allow efficient drying and curing</w:t>
            </w:r>
          </w:p>
          <w:p w:rsidR="00000000" w:rsidRPr="00BC00EE" w:rsidP="00BC00EE">
            <w:pPr>
              <w:pStyle w:val="ListBullet"/>
            </w:pPr>
            <w:r w:rsidRPr="00BC00EE">
              <w:t>recognising conditions which will lead to out of specification product</w:t>
            </w:r>
          </w:p>
          <w:p w:rsidR="00000000" w:rsidRPr="00BC00EE" w:rsidP="00BC00EE">
            <w:pPr>
              <w:pStyle w:val="ListBullet"/>
            </w:pPr>
            <w:r w:rsidRPr="00BC00EE">
              <w:t>implementing the enterprise's procedures within time constraints and in a manner relevant to the correct use of the equipment</w:t>
            </w:r>
          </w:p>
          <w:p w:rsidR="00000000" w:rsidRPr="00BC00EE" w:rsidP="00BC00EE">
            <w:pPr>
              <w:pStyle w:val="ListBullet"/>
            </w:pPr>
            <w:r w:rsidRPr="00BC00EE">
              <w:t>con</w:t>
            </w:r>
            <w:r w:rsidRPr="00BC00EE">
              <w:t>veying information relevant to the operation clearly and effectively</w:t>
            </w:r>
          </w:p>
          <w:p w:rsidR="00000000" w:rsidRPr="00BC00EE" w:rsidP="00BC00EE">
            <w:pPr>
              <w:pStyle w:val="ListBullet"/>
            </w:pPr>
            <w:r w:rsidRPr="00BC00EE">
              <w:t>maintaining appropriate levels of quality assurance</w:t>
            </w:r>
          </w:p>
          <w:p w:rsidR="00000000" w:rsidP="00BC00EE">
            <w:pPr>
              <w:pStyle w:val="ListBullet"/>
              <w:rPr>
                <w:lang w:val="en-NZ"/>
              </w:rPr>
            </w:pPr>
            <w:r w:rsidRPr="00BC00EE">
              <w:t>reading and numeracy to interpret workplace documents and technical information</w:t>
            </w:r>
          </w:p>
        </w:tc>
      </w:tr>
      <w:tr w:rsidTr="005F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Required knowledge</w:t>
            </w:r>
          </w:p>
        </w:tc>
      </w:tr>
      <w:tr w:rsidTr="005F75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Required knowledge includes:</w:t>
            </w:r>
          </w:p>
          <w:p w:rsidR="00000000" w:rsidRPr="00BC00EE" w:rsidP="00BC00EE">
            <w:pPr>
              <w:pStyle w:val="ListBullet"/>
            </w:pPr>
            <w:r w:rsidRPr="00BC00EE">
              <w:t>surf</w:t>
            </w:r>
            <w:r w:rsidRPr="00BC00EE">
              <w:t>ace finish requirements and terms</w:t>
            </w:r>
          </w:p>
          <w:p w:rsidR="00000000" w:rsidRPr="00BC00EE" w:rsidP="00BC00EE">
            <w:pPr>
              <w:pStyle w:val="ListBullet"/>
            </w:pPr>
            <w:r w:rsidRPr="00BC00EE">
              <w:t>nature and purpose of the drying/curing stage</w:t>
            </w:r>
          </w:p>
          <w:p w:rsidR="00000000" w:rsidRPr="00BC00EE" w:rsidP="00BC00EE">
            <w:pPr>
              <w:pStyle w:val="ListBullet"/>
            </w:pPr>
            <w:r w:rsidRPr="00BC00EE">
              <w:t>importance of correct moisture content</w:t>
            </w:r>
          </w:p>
          <w:p w:rsidR="00000000" w:rsidRPr="00BC00EE" w:rsidP="00BC00EE">
            <w:pPr>
              <w:pStyle w:val="ListBullet"/>
            </w:pPr>
            <w:r w:rsidRPr="00BC00EE">
              <w:t>importance of correct temperature and air circulation</w:t>
            </w:r>
          </w:p>
          <w:p w:rsidR="00000000" w:rsidRPr="00BC00EE" w:rsidP="00BC00EE">
            <w:pPr>
              <w:pStyle w:val="ListBullet"/>
            </w:pPr>
            <w:r w:rsidRPr="00BC00EE">
              <w:t>consequences of poor stacking</w:t>
            </w:r>
          </w:p>
          <w:p w:rsidR="00000000" w:rsidRPr="00BC00EE" w:rsidP="00BC00EE">
            <w:pPr>
              <w:pStyle w:val="ListBullet"/>
            </w:pPr>
            <w:r w:rsidRPr="00BC00EE">
              <w:t>underlying causes of faults such as precipitated by:</w:t>
            </w:r>
          </w:p>
          <w:p w:rsidR="00000000" w:rsidRPr="00BC00EE" w:rsidP="00BC00EE">
            <w:pPr>
              <w:pStyle w:val="ListBullet2"/>
            </w:pPr>
            <w:r w:rsidRPr="00BC00EE">
              <w:t>dryer/curing kiln</w:t>
            </w:r>
          </w:p>
          <w:p w:rsidR="00000000" w:rsidRPr="00BC00EE" w:rsidP="00BC00EE">
            <w:pPr>
              <w:pStyle w:val="ListBullet2"/>
            </w:pPr>
            <w:r w:rsidRPr="00BC00EE">
              <w:t>air flow/temperature</w:t>
            </w:r>
          </w:p>
          <w:p w:rsidR="00000000" w:rsidRPr="00BC00EE" w:rsidP="00BC00EE">
            <w:pPr>
              <w:pStyle w:val="ListBullet2"/>
            </w:pPr>
            <w:r w:rsidRPr="00BC00EE">
              <w:t>materials</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10" w:name="O_110004"/>
      <w:bookmarkEnd w:id="10"/>
      <w:r w:rsidRPr="00BC00EE">
        <w:t>Evidence Guide</w:t>
      </w:r>
    </w:p>
    <w:tbl>
      <w:tblPr>
        <w:tblW w:w="9570" w:type="dxa"/>
        <w:tblLayout w:type="fixed"/>
        <w:tblCellMar>
          <w:left w:w="62" w:type="dxa"/>
          <w:right w:w="62" w:type="dxa"/>
        </w:tblCellMar>
        <w:tblLook w:val="0000"/>
      </w:tblPr>
      <w:tblGrid>
        <w:gridCol w:w="3908"/>
        <w:gridCol w:w="5662"/>
      </w:tblGrid>
      <w:tr w:rsidTr="005F75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EVIDENCE GUIDE</w:t>
            </w:r>
          </w:p>
        </w:tc>
      </w:tr>
      <w:tr w:rsidTr="005F75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 xml:space="preserve">The Evidence Guide provides advice on assessment and must be read in conjunction with the performance criteria, required skills and knowledge, </w:t>
            </w:r>
            <w:r w:rsidRPr="00BC00EE">
              <w:t>range statement and the Assessment Guidelines for the Training Package.</w:t>
            </w:r>
          </w:p>
        </w:tc>
      </w:tr>
      <w:tr w:rsidTr="005F7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 xml:space="preserve">The unit will be assessed in as holistic a manner as is practical and may be integrated with the assessment of other relevant units of competency. </w:t>
            </w:r>
          </w:p>
        </w:tc>
      </w:tr>
      <w:tr w:rsidTr="005F7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Competence must be demonstrated in the ability to recognise situations requiring action and then in implementing appropriate corrective action. Consistent performa</w:t>
            </w:r>
            <w:r w:rsidRPr="00BC00EE">
              <w:t>nce should be demonstrated. In particular look to see that:</w:t>
            </w:r>
          </w:p>
          <w:p w:rsidR="00000000" w:rsidRPr="00BC00EE" w:rsidP="00BC00EE">
            <w:pPr>
              <w:pStyle w:val="ListBullet"/>
            </w:pPr>
            <w:r w:rsidRPr="00BC00EE">
              <w:t>greenware is ready for next stage of the process</w:t>
            </w:r>
          </w:p>
          <w:p w:rsidR="00000000" w:rsidRPr="00BC00EE" w:rsidP="00BC00EE">
            <w:pPr>
              <w:pStyle w:val="ListBullet"/>
            </w:pPr>
            <w:r w:rsidRPr="00BC00EE">
              <w:t>drying achieves the specified moisture content</w:t>
            </w:r>
          </w:p>
          <w:p w:rsidR="00000000" w:rsidRPr="00BC00EE" w:rsidP="00BC00EE">
            <w:pPr>
              <w:pStyle w:val="ListBullet"/>
            </w:pPr>
            <w:r w:rsidRPr="00BC00EE">
              <w:t>curing achieves the specified strength</w:t>
            </w:r>
          </w:p>
          <w:p w:rsidR="00000000" w:rsidRPr="00BC00EE" w:rsidP="00BC00EE">
            <w:pPr>
              <w:pStyle w:val="ListBullet"/>
            </w:pPr>
            <w:r w:rsidRPr="00BC00EE">
              <w:t>drying/curing area loaded to requirements</w:t>
            </w:r>
          </w:p>
          <w:p w:rsidR="00000000" w:rsidRPr="00BC00EE" w:rsidP="00BC00EE">
            <w:pPr>
              <w:pStyle w:val="ListBullet"/>
            </w:pPr>
            <w:r w:rsidRPr="00BC00EE">
              <w:t>temperature and hu</w:t>
            </w:r>
            <w:r w:rsidRPr="00BC00EE">
              <w:t>midity are within limits</w:t>
            </w:r>
          </w:p>
          <w:p w:rsidR="00000000" w:rsidP="00BC00EE">
            <w:pPr>
              <w:pStyle w:val="ListBullet"/>
              <w:rPr>
                <w:lang w:val="en-NZ"/>
              </w:rPr>
            </w:pPr>
            <w:r w:rsidRPr="00BC00EE">
              <w:t>product waste levels are low.</w:t>
            </w:r>
          </w:p>
        </w:tc>
      </w:tr>
      <w:tr w:rsidTr="005F7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Assessment will require access to an operating plant over an extended period of time, or a suitable method of gathering evidence of operating ability o</w:t>
            </w:r>
            <w:r w:rsidRPr="00BC00EE">
              <w:t xml:space="preserve">ver a range of situations. </w:t>
            </w:r>
          </w:p>
          <w:p w:rsidR="00000000" w:rsidRPr="00BC00EE" w:rsidP="00BC00EE">
            <w:pPr>
              <w:pStyle w:val="BodyText"/>
            </w:pPr>
            <w:r w:rsidRPr="00BC00EE">
              <w:t>Assessment will occur over a range of situations which will include disruptions to normal, smooth operation.</w:t>
            </w:r>
          </w:p>
          <w:p w:rsidR="00000000" w:rsidP="00BC00EE">
            <w:pPr>
              <w:pStyle w:val="BodyText"/>
              <w:rPr>
                <w:lang w:val="en-NZ"/>
              </w:rPr>
            </w:pPr>
            <w:r w:rsidRPr="00BC00EE">
              <w:t>Simulation or case studies/scenarios may be required to allow for timely assessment of parts of this competency unit (e</w:t>
            </w:r>
            <w:r w:rsidRPr="00BC00EE">
              <w:t>.g. those parts referring to safety of equipment). Simulation should be based on the actual plant and will include 'walk-throughs' of the relevant competency components. A bank of scenarios/case studies/what ifs will be required as will a bank of questions</w:t>
            </w:r>
            <w:r w:rsidRPr="00BC00EE">
              <w:t xml:space="preserve"> which will be used to probe the reasoning behind the observable actions.</w:t>
            </w:r>
          </w:p>
        </w:tc>
      </w:tr>
      <w:tr w:rsidTr="005F7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Individual enterprises may choose to add prerequisites and co-requisites relevant to their processes.</w:t>
            </w:r>
          </w:p>
        </w:tc>
      </w:tr>
      <w:tr w:rsidTr="005F75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Assessment processes and techniques must be appropriate to the work being performed and must take into consideration the language and literacy capacity of the candidate.</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11" w:name="O_110005"/>
      <w:bookmarkEnd w:id="11"/>
      <w:r w:rsidRPr="00BC00EE">
        <w:t>Range Statement</w:t>
      </w:r>
    </w:p>
    <w:tbl>
      <w:tblPr>
        <w:tblW w:w="0" w:type="auto"/>
        <w:tblLayout w:type="fixed"/>
        <w:tblCellMar>
          <w:left w:w="62" w:type="dxa"/>
          <w:right w:w="62" w:type="dxa"/>
        </w:tblCellMar>
        <w:tblLook w:val="0000"/>
      </w:tblPr>
      <w:tblGrid>
        <w:gridCol w:w="3517"/>
        <w:gridCol w:w="5005"/>
      </w:tblGrid>
      <w:tr w:rsidTr="005F75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RANGE STATEMENT</w:t>
            </w:r>
          </w:p>
        </w:tc>
      </w:tr>
      <w:tr w:rsidTr="005F75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The range statement relates to the unit of competency as a whole. It allows for different work environments and situations that may affect performance. Bold italicised wording, if used in the performance criteria, is detailed below. Essential operating con</w:t>
            </w:r>
            <w:r w:rsidRPr="00BC00EE">
              <w:t>ditions that may be present with training and assessment (depending on the work situation, needs of the candidate, accessibility of the item, and local industry and regional contexts) may also be included.</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Procedures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t>All operations are performed in accordance with standard procedures and work instructions</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Greenware and green products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Greenware and green products may include:</w:t>
            </w:r>
          </w:p>
          <w:p w:rsidR="00000000" w:rsidRPr="00BC00EE" w:rsidP="00BC00EE">
            <w:pPr>
              <w:pStyle w:val="ListBullet"/>
            </w:pPr>
            <w:r w:rsidRPr="00BC00EE">
              <w:t>clay and ceramics products prior to firing</w:t>
            </w:r>
          </w:p>
          <w:p w:rsidR="00000000" w:rsidRPr="00BC00EE" w:rsidP="00BC00EE">
            <w:pPr>
              <w:pStyle w:val="ListBullet"/>
            </w:pPr>
            <w:r w:rsidRPr="00BC00EE">
              <w:t>fibre reinforced cement products prior to autoclav</w:t>
            </w:r>
            <w:r w:rsidRPr="00BC00EE">
              <w:t>ing</w:t>
            </w:r>
          </w:p>
          <w:p w:rsidR="00000000" w:rsidP="00BC00EE">
            <w:pPr>
              <w:pStyle w:val="ListBullet"/>
              <w:rPr>
                <w:lang w:val="en-NZ"/>
              </w:rPr>
            </w:pPr>
            <w:r w:rsidRPr="00BC00EE">
              <w:t>concrete products such as masonry curing</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Equipment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Equipment may include:</w:t>
            </w:r>
          </w:p>
          <w:p w:rsidR="00000000" w:rsidRPr="00BC00EE" w:rsidP="00BC00EE">
            <w:pPr>
              <w:pStyle w:val="ListBullet"/>
            </w:pPr>
            <w:r w:rsidRPr="00BC00EE">
              <w:t>hand tools</w:t>
            </w:r>
          </w:p>
          <w:p w:rsidR="00000000" w:rsidRPr="00BC00EE" w:rsidP="00BC00EE">
            <w:pPr>
              <w:pStyle w:val="ListBullet"/>
            </w:pPr>
            <w:r w:rsidRPr="00BC00EE">
              <w:t>templates</w:t>
            </w:r>
          </w:p>
          <w:p w:rsidR="00000000" w:rsidRPr="00BC00EE" w:rsidP="00BC00EE">
            <w:pPr>
              <w:pStyle w:val="ListBullet"/>
            </w:pPr>
            <w:r w:rsidRPr="00BC00EE">
              <w:t>drying area, cabinets, tunnel, curing kiln</w:t>
            </w:r>
          </w:p>
          <w:p w:rsidR="00000000" w:rsidRPr="00BC00EE" w:rsidP="00BC00EE">
            <w:pPr>
              <w:pStyle w:val="ListBullet"/>
            </w:pPr>
            <w:r w:rsidRPr="00BC00EE">
              <w:t>transfer cars, kiln cars, trolleys, shelving or racks</w:t>
            </w:r>
          </w:p>
          <w:p w:rsidR="00000000" w:rsidRPr="00BC00EE" w:rsidP="00BC00EE">
            <w:pPr>
              <w:pStyle w:val="ListBullet"/>
            </w:pPr>
            <w:r w:rsidRPr="00BC00EE">
              <w:t>temperature measuring equipment</w:t>
            </w:r>
          </w:p>
          <w:p w:rsidR="00000000" w:rsidP="00BC00EE">
            <w:pPr>
              <w:pStyle w:val="ListBullet"/>
              <w:rPr>
                <w:lang w:val="en-NZ"/>
              </w:rPr>
            </w:pPr>
            <w:r w:rsidRPr="00BC00EE">
              <w:t>moisture measuring equipment (e.g. infra-red moisture meter)</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Finishing</w:t>
            </w:r>
            <w:r w:rsidRPr="00BC00EE">
              <w:t xml:space="preserve"> </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Finishing includes operations, such as:</w:t>
            </w:r>
          </w:p>
          <w:p w:rsidR="00000000" w:rsidRPr="00BC00EE" w:rsidP="00BC00EE">
            <w:pPr>
              <w:pStyle w:val="ListBullet"/>
            </w:pPr>
            <w:r w:rsidRPr="00BC00EE">
              <w:t>brushing</w:t>
            </w:r>
          </w:p>
          <w:p w:rsidR="00000000" w:rsidRPr="00BC00EE" w:rsidP="00BC00EE">
            <w:pPr>
              <w:pStyle w:val="ListBullet"/>
            </w:pPr>
            <w:r w:rsidRPr="00BC00EE">
              <w:t>dressing</w:t>
            </w:r>
          </w:p>
          <w:p w:rsidR="00000000" w:rsidRPr="00BC00EE" w:rsidP="00BC00EE">
            <w:pPr>
              <w:pStyle w:val="ListBullet"/>
            </w:pPr>
            <w:r w:rsidRPr="00BC00EE">
              <w:t>fettling</w:t>
            </w:r>
          </w:p>
          <w:p w:rsidR="00000000" w:rsidRPr="00BC00EE" w:rsidP="00BC00EE">
            <w:pPr>
              <w:pStyle w:val="ListBullet"/>
            </w:pPr>
            <w:r w:rsidRPr="00BC00EE">
              <w:t xml:space="preserve">linishing </w:t>
            </w:r>
          </w:p>
          <w:p w:rsidR="00000000" w:rsidRPr="00BC00EE" w:rsidP="00BC00EE">
            <w:pPr>
              <w:pStyle w:val="ListBullet"/>
            </w:pPr>
            <w:r w:rsidRPr="00BC00EE">
              <w:t>sanding</w:t>
            </w:r>
          </w:p>
          <w:p w:rsidR="00000000" w:rsidRPr="00BC00EE" w:rsidP="00BC00EE">
            <w:pPr>
              <w:pStyle w:val="ListBullet"/>
            </w:pPr>
            <w:r w:rsidRPr="00BC00EE">
              <w:t>sponging</w:t>
            </w:r>
          </w:p>
          <w:p w:rsidR="00000000" w:rsidRPr="00BC00EE" w:rsidP="00BC00EE">
            <w:pPr>
              <w:pStyle w:val="ListBullet"/>
            </w:pPr>
            <w:r w:rsidRPr="00BC00EE">
              <w:t>stacking</w:t>
            </w:r>
          </w:p>
          <w:p w:rsidR="00000000" w:rsidP="00BC00EE">
            <w:pPr>
              <w:pStyle w:val="ListBullet"/>
              <w:rPr>
                <w:lang w:val="en-NZ"/>
              </w:rPr>
            </w:pPr>
            <w:r w:rsidRPr="00BC00EE">
              <w:t>edge trimming</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Typical problems</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Typical problems may include:</w:t>
            </w:r>
          </w:p>
          <w:p w:rsidR="00000000" w:rsidRPr="00BC00EE" w:rsidP="00BC00EE">
            <w:pPr>
              <w:pStyle w:val="ListBullet"/>
            </w:pPr>
            <w:r w:rsidRPr="00BC00EE">
              <w:t>inspecting and finishing to ensure surfaces are to specification</w:t>
            </w:r>
          </w:p>
          <w:p w:rsidR="00000000" w:rsidRPr="00BC00EE" w:rsidP="00BC00EE">
            <w:pPr>
              <w:pStyle w:val="ListBullet"/>
            </w:pPr>
            <w:r w:rsidRPr="00BC00EE">
              <w:t>ensuring moisture content is within requirements</w:t>
            </w:r>
          </w:p>
          <w:p w:rsidR="00000000" w:rsidRPr="00BC00EE" w:rsidP="00BC00EE">
            <w:pPr>
              <w:pStyle w:val="ListBullet"/>
            </w:pPr>
            <w:r w:rsidRPr="00BC00EE">
              <w:t>ensuring product strength has been obtained</w:t>
            </w:r>
          </w:p>
          <w:p w:rsidR="00000000" w:rsidRPr="00BC00EE" w:rsidP="00BC00EE">
            <w:pPr>
              <w:pStyle w:val="ListBullet"/>
            </w:pPr>
            <w:r w:rsidRPr="00BC00EE">
              <w:t>temperature and humidity control</w:t>
            </w:r>
          </w:p>
          <w:p w:rsidR="00000000" w:rsidP="00BC00EE">
            <w:pPr>
              <w:pStyle w:val="ListBullet"/>
              <w:rPr>
                <w:lang w:val="en-NZ"/>
              </w:rPr>
            </w:pPr>
            <w:r w:rsidRPr="00BC00EE">
              <w:t>distribution of product in drying/curing area</w:t>
            </w:r>
          </w:p>
        </w:tc>
      </w:tr>
      <w:tr w:rsidTr="005F7540">
        <w:tblPrEx>
          <w:tblW w:w="0" w:type="auto"/>
          <w:tblLayout w:type="fixed"/>
          <w:tblCellMar>
            <w:left w:w="62" w:type="dxa"/>
            <w:right w:w="62" w:type="dxa"/>
          </w:tblCellMar>
          <w:tblLook w:val="0000"/>
        </w:tblPrEx>
        <w:tc>
          <w:tcPr>
            <w:tcW w:w="3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Occupational healt</w:t>
            </w:r>
            <w:r w:rsidRPr="00BC00EE">
              <w:rPr>
                <w:rStyle w:val="SpecialBold"/>
              </w:rPr>
              <w:t>h and safety</w:t>
            </w:r>
            <w:r w:rsidRPr="00BC00EE">
              <w:t xml:space="preserve"> (</w:t>
            </w:r>
            <w:r w:rsidRPr="00BC00EE">
              <w:rPr>
                <w:rStyle w:val="SpecialBold"/>
              </w:rPr>
              <w:t>OHS</w:t>
            </w:r>
            <w:r w:rsidRPr="00BC00EE">
              <w:t>)</w:t>
            </w:r>
          </w:p>
        </w:tc>
        <w:tc>
          <w:tcPr>
            <w:tcW w:w="5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The identification and control of hazards and the application of OHS is to be in accordance with current, applicable legislation and regulations, and company procedures. All work is carried out at all times in accordance with these requi</w:t>
            </w:r>
            <w:r w:rsidRPr="00BC00EE">
              <w:t>rements</w:t>
            </w:r>
          </w:p>
        </w:tc>
      </w:tr>
    </w:tbl>
    <w:p w:rsidR="005F7540" w:rsidP="00BC00EE">
      <w:pPr>
        <w:pStyle w:val="BodyText"/>
      </w:pPr>
    </w:p>
    <w:p w:rsidR="005F7540" w:rsidP="00BC00EE">
      <w:pPr>
        <w:pStyle w:val="BodyText"/>
      </w:pPr>
    </w:p>
    <w:p w:rsidR="00000000" w:rsidRPr="00BC00EE" w:rsidP="00BC00EE">
      <w:pPr>
        <w:pStyle w:val="Heading1"/>
      </w:pPr>
      <w:bookmarkStart w:id="12" w:name="O_110006"/>
      <w:bookmarkEnd w:id="12"/>
      <w:r w:rsidRPr="00BC00EE">
        <w:t>Unit Sector(s)</w:t>
      </w:r>
    </w:p>
    <w:tbl>
      <w:tblPr>
        <w:tblW w:w="0" w:type="auto"/>
        <w:tblLayout w:type="fixed"/>
        <w:tblCellMar>
          <w:left w:w="62" w:type="dxa"/>
          <w:right w:w="62" w:type="dxa"/>
        </w:tblCellMar>
        <w:tblLook w:val="0000"/>
      </w:tblPr>
      <w:tblGrid>
        <w:gridCol w:w="2567"/>
        <w:gridCol w:w="5955"/>
      </w:tblGrid>
      <w:tr w:rsidTr="005F754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r w:rsidRPr="00BC00EE">
              <w:t>Operational/technical</w:t>
            </w: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13" w:name="O_160101"/>
      <w:bookmarkEnd w:id="13"/>
      <w:r w:rsidRPr="00BC00EE">
        <w:t>Competency field</w:t>
      </w:r>
    </w:p>
    <w:tbl>
      <w:tblPr>
        <w:tblW w:w="0" w:type="auto"/>
        <w:tblLayout w:type="fixed"/>
        <w:tblCellMar>
          <w:left w:w="62" w:type="dxa"/>
          <w:right w:w="62" w:type="dxa"/>
        </w:tblCellMar>
        <w:tblLook w:val="0000"/>
      </w:tblPr>
      <w:tblGrid>
        <w:gridCol w:w="2784"/>
        <w:gridCol w:w="5738"/>
      </w:tblGrid>
      <w:tr w:rsidTr="005F75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p>
        </w:tc>
      </w:tr>
    </w:tbl>
    <w:p w:rsidR="00000000" w:rsidRPr="00BC00EE" w:rsidP="00BC00EE">
      <w:pPr>
        <w:pStyle w:val="BodyText"/>
      </w:pPr>
    </w:p>
    <w:p w:rsidR="00000000" w:rsidRPr="00BC00EE" w:rsidP="00BC00EE">
      <w:pPr>
        <w:pStyle w:val="AllowPageBreak"/>
      </w:pPr>
    </w:p>
    <w:p w:rsidR="00000000" w:rsidRPr="00BC00EE" w:rsidP="00BC00EE">
      <w:pPr>
        <w:pStyle w:val="Heading1"/>
      </w:pPr>
      <w:bookmarkStart w:id="14" w:name="O_160100"/>
      <w:bookmarkEnd w:id="14"/>
      <w:r w:rsidRPr="00BC00EE">
        <w:t>Co-requisite units</w:t>
      </w:r>
    </w:p>
    <w:tbl>
      <w:tblPr>
        <w:tblW w:w="0" w:type="auto"/>
        <w:tblLayout w:type="fixed"/>
        <w:tblCellMar>
          <w:left w:w="62" w:type="dxa"/>
          <w:right w:w="62" w:type="dxa"/>
        </w:tblCellMar>
        <w:tblLook w:val="0000"/>
      </w:tblPr>
      <w:tblGrid>
        <w:gridCol w:w="2641"/>
        <w:gridCol w:w="1322"/>
        <w:gridCol w:w="4559"/>
      </w:tblGrid>
      <w:tr w:rsidTr="005F75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r w:rsidRPr="00BC00E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p>
        </w:tc>
      </w:tr>
      <w:tr w:rsidTr="005F75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0EE">
            <w:pPr>
              <w:pStyle w:val="BodyText"/>
              <w:rPr>
                <w:lang w:val="en-NZ"/>
              </w:rPr>
            </w:pPr>
          </w:p>
        </w:tc>
      </w:tr>
      <w:tr w:rsidTr="005F75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0EE" w:rsidP="00BC00EE">
            <w:pPr>
              <w:pStyle w:val="BodyText"/>
            </w:pPr>
          </w:p>
        </w:tc>
      </w:tr>
    </w:tbl>
    <w:p w:rsidR="00000000" w:rsidRPr="00BC00EE" w:rsidP="00BC00EE">
      <w:pPr>
        <w:pStyle w:val="BodyText"/>
      </w:pPr>
    </w:p>
    <w:p w:rsidR="00000000" w:rsidRPr="00BC00EE" w:rsidP="00BC00EE"/>
    <w:sectPr w:rsidSect="00BC0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rsidRPr="005F7540" w:rsidP="005F7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40" w:rsidP="00BC0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7540" w:rsidP="00BC00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7540" w:rsidP="00BC0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rsidRPr="005F7540" w:rsidP="005F75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540" w:rsidRPr="002D2AF8" w:rsidP="00BC00EE">
    <w:pPr>
      <w:pStyle w:val="Header"/>
      <w:framePr w:wrap="around"/>
    </w:pPr>
    <w:r>
      <w:fldChar w:fldCharType="begin"/>
    </w:r>
    <w:r>
      <w:instrText xml:space="preserve"> TITLE   \* MERGEFORMAT </w:instrText>
    </w:r>
    <w:r>
      <w:fldChar w:fldCharType="separate"/>
    </w:r>
    <w:r>
      <w:t>PMC552005C Process greenware/green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5F7540" w:rsidP="00BC0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8C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E4B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40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0EE"/>
    <w:pPr>
      <w:spacing w:before="360" w:after="60"/>
      <w:outlineLvl w:val="0"/>
    </w:pPr>
    <w:rPr>
      <w:sz w:val="32"/>
    </w:rPr>
  </w:style>
  <w:style w:type="paragraph" w:styleId="Heading2">
    <w:name w:val="heading 2"/>
    <w:basedOn w:val="HeadingBase"/>
    <w:next w:val="BodyText"/>
    <w:link w:val="Heading2Char"/>
    <w:qFormat/>
    <w:rsid w:val="00BC00EE"/>
    <w:pPr>
      <w:keepLines/>
      <w:spacing w:before="240" w:after="120"/>
      <w:outlineLvl w:val="1"/>
    </w:pPr>
    <w:rPr>
      <w:sz w:val="28"/>
      <w:szCs w:val="40"/>
    </w:rPr>
  </w:style>
  <w:style w:type="paragraph" w:styleId="Heading3">
    <w:name w:val="heading 3"/>
    <w:basedOn w:val="HeadingBase"/>
    <w:next w:val="BodyText"/>
    <w:link w:val="Heading3Char"/>
    <w:qFormat/>
    <w:rsid w:val="00BC00EE"/>
    <w:pPr>
      <w:spacing w:before="180" w:after="120"/>
      <w:outlineLvl w:val="2"/>
    </w:pPr>
    <w:rPr>
      <w:spacing w:val="-10"/>
      <w:kern w:val="32"/>
    </w:rPr>
  </w:style>
  <w:style w:type="paragraph" w:styleId="Heading4">
    <w:name w:val="heading 4"/>
    <w:basedOn w:val="HeadingBase"/>
    <w:next w:val="BodyText"/>
    <w:link w:val="Heading4Char"/>
    <w:qFormat/>
    <w:rsid w:val="00BC00EE"/>
    <w:pPr>
      <w:spacing w:before="160" w:after="120"/>
      <w:outlineLvl w:val="3"/>
    </w:pPr>
    <w:rPr>
      <w:sz w:val="22"/>
    </w:rPr>
  </w:style>
  <w:style w:type="paragraph" w:styleId="Heading5">
    <w:name w:val="heading 5"/>
    <w:basedOn w:val="HeadingBase"/>
    <w:next w:val="Normal"/>
    <w:link w:val="Heading5Char"/>
    <w:qFormat/>
    <w:rsid w:val="00BC00EE"/>
    <w:pPr>
      <w:spacing w:before="80"/>
      <w:outlineLvl w:val="4"/>
    </w:pPr>
    <w:rPr>
      <w:color w:val="918585"/>
      <w:sz w:val="20"/>
    </w:rPr>
  </w:style>
  <w:style w:type="paragraph" w:styleId="Heading6">
    <w:name w:val="heading 6"/>
    <w:basedOn w:val="HeadingBase"/>
    <w:next w:val="Normal"/>
    <w:link w:val="Heading6Char"/>
    <w:qFormat/>
    <w:rsid w:val="00BC00EE"/>
    <w:pPr>
      <w:spacing w:before="60"/>
      <w:outlineLvl w:val="5"/>
    </w:pPr>
    <w:rPr>
      <w:color w:val="918585"/>
      <w:sz w:val="20"/>
    </w:rPr>
  </w:style>
  <w:style w:type="paragraph" w:styleId="Heading7">
    <w:name w:val="heading 7"/>
    <w:basedOn w:val="Normal"/>
    <w:next w:val="Normal"/>
    <w:link w:val="Heading7Char"/>
    <w:qFormat/>
    <w:rsid w:val="00BC00EE"/>
    <w:pPr>
      <w:ind w:left="720"/>
      <w:outlineLvl w:val="6"/>
    </w:pPr>
    <w:rPr>
      <w:i/>
    </w:rPr>
  </w:style>
  <w:style w:type="paragraph" w:styleId="Heading8">
    <w:name w:val="heading 8"/>
    <w:basedOn w:val="Normal"/>
    <w:next w:val="Normal"/>
    <w:link w:val="Heading8Char"/>
    <w:qFormat/>
    <w:rsid w:val="00BC00EE"/>
    <w:pPr>
      <w:ind w:left="720"/>
      <w:outlineLvl w:val="7"/>
    </w:pPr>
    <w:rPr>
      <w:i/>
    </w:rPr>
  </w:style>
  <w:style w:type="paragraph" w:styleId="Heading9">
    <w:name w:val="heading 9"/>
    <w:basedOn w:val="Normal"/>
    <w:next w:val="Normal"/>
    <w:link w:val="Heading9Char"/>
    <w:qFormat/>
    <w:rsid w:val="00BC00EE"/>
    <w:pPr>
      <w:ind w:left="720"/>
      <w:outlineLvl w:val="8"/>
    </w:pPr>
    <w:rPr>
      <w:i/>
    </w:rPr>
  </w:style>
  <w:style w:type="character" w:default="1" w:styleId="DefaultParagraphFont">
    <w:name w:val="Default Paragraph Font"/>
    <w:uiPriority w:val="1"/>
    <w:unhideWhenUsed/>
    <w:rsid w:val="00BC0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0EE"/>
  </w:style>
  <w:style w:type="character" w:customStyle="1" w:styleId="Heading1Char">
    <w:name w:val="Heading 1 Char"/>
    <w:basedOn w:val="DefaultParagraphFont"/>
    <w:link w:val="Heading1"/>
    <w:rsid w:val="00BC00EE"/>
    <w:rPr>
      <w:rFonts w:ascii="Times New Roman" w:eastAsia="Times New Roman" w:hAnsi="Times New Roman" w:cs="Times New Roman"/>
      <w:b/>
      <w:sz w:val="32"/>
      <w:szCs w:val="20"/>
      <w:lang w:eastAsia="en-US"/>
    </w:rPr>
  </w:style>
  <w:style w:type="paragraph" w:styleId="BodyText">
    <w:name w:val="Body Text"/>
    <w:basedOn w:val="Normal"/>
    <w:link w:val="BodyTextChar"/>
    <w:rsid w:val="00BC0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00EE"/>
    <w:rPr>
      <w:rFonts w:ascii="Times New Roman" w:eastAsia="Times New Roman" w:hAnsi="Times New Roman" w:cs="Times New Roman"/>
      <w:sz w:val="24"/>
      <w:lang w:eastAsia="en-US"/>
    </w:rPr>
  </w:style>
  <w:style w:type="paragraph" w:styleId="List">
    <w:name w:val="List"/>
    <w:basedOn w:val="BodyText"/>
    <w:next w:val="BodyText"/>
    <w:rsid w:val="00BC00EE"/>
    <w:pPr>
      <w:tabs>
        <w:tab w:val="left" w:pos="340"/>
      </w:tabs>
      <w:spacing w:before="60" w:after="60"/>
      <w:ind w:left="340" w:hanging="340"/>
    </w:pPr>
  </w:style>
  <w:style w:type="paragraph" w:styleId="ListBullet">
    <w:name w:val="List Bullet"/>
    <w:basedOn w:val="List"/>
    <w:rsid w:val="00BC00EE"/>
    <w:pPr>
      <w:numPr>
        <w:numId w:val="13"/>
      </w:numPr>
      <w:tabs>
        <w:tab w:val="clear" w:pos="340"/>
      </w:tabs>
      <w:spacing w:before="40" w:after="40"/>
    </w:pPr>
  </w:style>
  <w:style w:type="character" w:customStyle="1" w:styleId="SpecialBold">
    <w:name w:val="Special Bold"/>
    <w:basedOn w:val="DefaultParagraphFont"/>
    <w:rsid w:val="00BC00EE"/>
    <w:rPr>
      <w:b/>
      <w:spacing w:val="0"/>
    </w:rPr>
  </w:style>
  <w:style w:type="paragraph" w:styleId="ListBullet2">
    <w:name w:val="List Bullet 2"/>
    <w:basedOn w:val="List2"/>
    <w:rsid w:val="00BC00EE"/>
    <w:pPr>
      <w:numPr>
        <w:numId w:val="14"/>
      </w:numPr>
      <w:tabs>
        <w:tab w:val="clear" w:pos="680"/>
      </w:tabs>
    </w:pPr>
  </w:style>
  <w:style w:type="paragraph" w:customStyle="1" w:styleId="SuperHeading">
    <w:name w:val="SuperHeading"/>
    <w:basedOn w:val="Normal"/>
    <w:rsid w:val="00BC00EE"/>
    <w:pPr>
      <w:spacing w:before="240" w:after="120"/>
      <w:outlineLvl w:val="0"/>
    </w:pPr>
    <w:rPr>
      <w:rFonts w:ascii="Times New Roman" w:hAnsi="Times New Roman"/>
      <w:b/>
      <w:sz w:val="32"/>
    </w:rPr>
  </w:style>
  <w:style w:type="paragraph" w:customStyle="1" w:styleId="AllowPageBreak">
    <w:name w:val="AllowPageBreak"/>
    <w:rsid w:val="00BC00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00EE"/>
    <w:pPr>
      <w:tabs>
        <w:tab w:val="left" w:pos="680"/>
      </w:tabs>
      <w:spacing w:before="60" w:after="60"/>
      <w:ind w:left="680" w:hanging="340"/>
    </w:pPr>
  </w:style>
  <w:style w:type="character" w:customStyle="1" w:styleId="Heading2Char">
    <w:name w:val="Heading 2 Char"/>
    <w:basedOn w:val="DefaultParagraphFont"/>
    <w:link w:val="Heading2"/>
    <w:rsid w:val="00BC0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0EE"/>
    <w:rPr>
      <w:rFonts w:ascii="Courier New" w:eastAsia="Times New Roman" w:hAnsi="Courier New" w:cs="Times New Roman"/>
      <w:i/>
      <w:szCs w:val="20"/>
      <w:lang w:eastAsia="en-US"/>
    </w:rPr>
  </w:style>
  <w:style w:type="paragraph" w:customStyle="1" w:styleId="HeadingBase">
    <w:name w:val="Heading Base"/>
    <w:rsid w:val="00BC0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0EE"/>
    <w:pPr>
      <w:tabs>
        <w:tab w:val="right" w:leader="dot" w:pos="9072"/>
      </w:tabs>
      <w:ind w:left="567"/>
    </w:pPr>
    <w:rPr>
      <w:szCs w:val="22"/>
    </w:rPr>
  </w:style>
  <w:style w:type="paragraph" w:customStyle="1" w:styleId="TOCBase">
    <w:name w:val="TOC Base"/>
    <w:rsid w:val="00BC0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0EE"/>
    <w:pPr>
      <w:tabs>
        <w:tab w:val="right" w:leader="dot" w:pos="9072"/>
      </w:tabs>
      <w:spacing w:before="40" w:after="40"/>
      <w:ind w:left="284"/>
    </w:pPr>
    <w:rPr>
      <w:rFonts w:ascii="Times New Roman" w:hAnsi="Times New Roman"/>
    </w:rPr>
  </w:style>
  <w:style w:type="paragraph" w:styleId="TOC1">
    <w:name w:val="toc 1"/>
    <w:basedOn w:val="TOCBase"/>
    <w:next w:val="Normal"/>
    <w:rsid w:val="00BC0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0EE"/>
    <w:rPr>
      <w:rFonts w:ascii="Times New Roman" w:eastAsia="Times New Roman" w:hAnsi="Times New Roman" w:cs="Times New Roman"/>
      <w:sz w:val="16"/>
      <w:lang w:eastAsia="en-US"/>
    </w:rPr>
  </w:style>
  <w:style w:type="paragraph" w:styleId="Title">
    <w:name w:val="Title"/>
    <w:basedOn w:val="HeadingBase"/>
    <w:link w:val="TitleChar"/>
    <w:qFormat/>
    <w:rsid w:val="00BC00EE"/>
    <w:pPr>
      <w:spacing w:before="5040"/>
      <w:jc w:val="center"/>
    </w:pPr>
    <w:rPr>
      <w:sz w:val="48"/>
      <w:szCs w:val="72"/>
      <w:lang w:val="en-US"/>
    </w:rPr>
  </w:style>
  <w:style w:type="character" w:customStyle="1" w:styleId="TitleChar">
    <w:name w:val="Title Char"/>
    <w:basedOn w:val="DefaultParagraphFont"/>
    <w:link w:val="Title"/>
    <w:rsid w:val="00BC0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0EE"/>
    <w:pPr>
      <w:tabs>
        <w:tab w:val="left" w:pos="3600"/>
        <w:tab w:val="left" w:pos="3958"/>
      </w:tabs>
    </w:pPr>
  </w:style>
  <w:style w:type="paragraph" w:customStyle="1" w:styleId="Note">
    <w:name w:val="Note"/>
    <w:basedOn w:val="BodyText"/>
    <w:rsid w:val="00BC0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0EE"/>
    <w:pPr>
      <w:framePr w:wrap="auto" w:hAnchor="text" w:y="6049"/>
    </w:pPr>
    <w:rPr>
      <w:color w:val="000000"/>
      <w:sz w:val="40"/>
    </w:rPr>
  </w:style>
  <w:style w:type="paragraph" w:customStyle="1" w:styleId="TOCTitle">
    <w:name w:val="TOCTitle"/>
    <w:basedOn w:val="Heading1"/>
    <w:rsid w:val="00BC00EE"/>
    <w:pPr>
      <w:spacing w:after="240"/>
      <w:jc w:val="center"/>
      <w:outlineLvl w:val="9"/>
    </w:pPr>
    <w:rPr>
      <w:caps/>
    </w:rPr>
  </w:style>
  <w:style w:type="paragraph" w:customStyle="1" w:styleId="Version">
    <w:name w:val="Version"/>
    <w:rsid w:val="00BC0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0EE"/>
    <w:pPr>
      <w:keepNext w:val="0"/>
      <w:tabs>
        <w:tab w:val="right" w:pos="4176"/>
      </w:tabs>
      <w:ind w:left="198" w:hanging="198"/>
    </w:pPr>
    <w:rPr>
      <w:rFonts w:ascii="Garamond" w:hAnsi="Garamond"/>
    </w:rPr>
  </w:style>
  <w:style w:type="paragraph" w:styleId="IndexHeading">
    <w:name w:val="index heading"/>
    <w:basedOn w:val="Normal"/>
    <w:next w:val="Index1"/>
    <w:semiHidden/>
    <w:rsid w:val="00BC00EE"/>
    <w:pPr>
      <w:spacing w:before="120" w:after="120"/>
    </w:pPr>
    <w:rPr>
      <w:rFonts w:ascii="Arial" w:hAnsi="Arial"/>
      <w:b/>
      <w:color w:val="918585"/>
      <w:sz w:val="24"/>
    </w:rPr>
  </w:style>
  <w:style w:type="paragraph" w:styleId="Header">
    <w:name w:val="header"/>
    <w:basedOn w:val="Normal"/>
    <w:link w:val="HeaderChar"/>
    <w:rsid w:val="00BC0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0EE"/>
    <w:rPr>
      <w:rFonts w:ascii="Times New Roman" w:eastAsia="Times New Roman" w:hAnsi="Times New Roman" w:cs="Times New Roman"/>
      <w:sz w:val="16"/>
      <w:szCs w:val="20"/>
      <w:lang w:val="en-GB" w:eastAsia="en-US"/>
    </w:rPr>
  </w:style>
  <w:style w:type="paragraph" w:customStyle="1" w:styleId="Chapter">
    <w:name w:val="Chapter"/>
    <w:basedOn w:val="Normal"/>
    <w:rsid w:val="00BC00EE"/>
    <w:pPr>
      <w:spacing w:before="240"/>
    </w:pPr>
    <w:rPr>
      <w:rFonts w:ascii="Times New Roman" w:hAnsi="Times New Roman"/>
      <w:smallCaps/>
      <w:spacing w:val="80"/>
      <w:sz w:val="28"/>
    </w:rPr>
  </w:style>
  <w:style w:type="paragraph" w:customStyle="1" w:styleId="InChapter">
    <w:name w:val="InChapter"/>
    <w:basedOn w:val="Heading3"/>
    <w:rsid w:val="00BC00EE"/>
    <w:pPr>
      <w:spacing w:after="240"/>
      <w:outlineLvl w:val="9"/>
    </w:pPr>
    <w:rPr>
      <w:noProof/>
    </w:rPr>
  </w:style>
  <w:style w:type="paragraph" w:styleId="Index2">
    <w:name w:val="index 2"/>
    <w:basedOn w:val="Normal"/>
    <w:next w:val="Normal"/>
    <w:semiHidden/>
    <w:rsid w:val="00BC00EE"/>
    <w:pPr>
      <w:tabs>
        <w:tab w:val="right" w:pos="4176"/>
      </w:tabs>
      <w:ind w:left="568" w:hanging="284"/>
    </w:pPr>
    <w:rPr>
      <w:rFonts w:ascii="Garamond" w:hAnsi="Garamond"/>
    </w:rPr>
  </w:style>
  <w:style w:type="paragraph" w:customStyle="1" w:styleId="Byline">
    <w:name w:val="Byline"/>
    <w:rsid w:val="00BC0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0EE"/>
    <w:pPr>
      <w:tabs>
        <w:tab w:val="clear" w:pos="3600"/>
        <w:tab w:val="clear" w:pos="3958"/>
      </w:tabs>
      <w:jc w:val="right"/>
    </w:pPr>
  </w:style>
  <w:style w:type="character" w:styleId="Emphasis">
    <w:name w:val="Emphasis"/>
    <w:basedOn w:val="DefaultParagraphFont"/>
    <w:qFormat/>
    <w:rsid w:val="00BC00EE"/>
    <w:rPr>
      <w:i/>
    </w:rPr>
  </w:style>
  <w:style w:type="paragraph" w:styleId="Caption">
    <w:name w:val="caption"/>
    <w:basedOn w:val="BodyText"/>
    <w:next w:val="Normal"/>
    <w:qFormat/>
    <w:rsid w:val="00BC00EE"/>
    <w:pPr>
      <w:framePr w:w="2268" w:hSpace="181" w:vSpace="181" w:wrap="around" w:vAnchor="text" w:hAnchor="page" w:x="1135" w:y="285" w:anchorLock="1"/>
    </w:pPr>
    <w:rPr>
      <w:i/>
    </w:rPr>
  </w:style>
  <w:style w:type="paragraph" w:customStyle="1" w:styleId="MiniTOCTitle">
    <w:name w:val="MiniTOCTitle"/>
    <w:basedOn w:val="Heading4"/>
    <w:rsid w:val="00BC00EE"/>
    <w:pPr>
      <w:spacing w:before="240"/>
      <w:outlineLvl w:val="9"/>
    </w:pPr>
    <w:rPr>
      <w:noProof/>
      <w:sz w:val="24"/>
    </w:rPr>
  </w:style>
  <w:style w:type="paragraph" w:customStyle="1" w:styleId="MiniTOCItem">
    <w:name w:val="MiniTOCItem"/>
    <w:basedOn w:val="ListBullet"/>
    <w:rsid w:val="00BC00EE"/>
    <w:pPr>
      <w:numPr>
        <w:numId w:val="0"/>
      </w:numPr>
      <w:tabs>
        <w:tab w:val="right" w:leader="dot" w:pos="6521"/>
      </w:tabs>
      <w:spacing w:before="0" w:after="0"/>
    </w:pPr>
  </w:style>
  <w:style w:type="paragraph" w:customStyle="1" w:styleId="TOFTitle">
    <w:name w:val="TOFTitle"/>
    <w:basedOn w:val="TOCTitle"/>
    <w:rsid w:val="00BC00EE"/>
  </w:style>
  <w:style w:type="paragraph" w:styleId="TableofFigures">
    <w:name w:val="table of figures"/>
    <w:basedOn w:val="Normal"/>
    <w:next w:val="Normal"/>
    <w:semiHidden/>
    <w:rsid w:val="00BC00EE"/>
    <w:pPr>
      <w:tabs>
        <w:tab w:val="right" w:leader="dot" w:pos="9072"/>
      </w:tabs>
      <w:ind w:left="970" w:hanging="403"/>
    </w:pPr>
    <w:rPr>
      <w:rFonts w:ascii="Times New Roman" w:hAnsi="Times New Roman"/>
      <w:b/>
    </w:rPr>
  </w:style>
  <w:style w:type="paragraph" w:styleId="ListNumber">
    <w:name w:val="List Number"/>
    <w:basedOn w:val="List"/>
    <w:rsid w:val="00BC00EE"/>
    <w:pPr>
      <w:numPr>
        <w:numId w:val="11"/>
      </w:numPr>
    </w:pPr>
  </w:style>
  <w:style w:type="character" w:customStyle="1" w:styleId="WingdingSymbols">
    <w:name w:val="Wingding Symbols"/>
    <w:rsid w:val="00BC00EE"/>
    <w:rPr>
      <w:rFonts w:ascii="Wingdings" w:hAnsi="Wingdings"/>
    </w:rPr>
  </w:style>
  <w:style w:type="paragraph" w:customStyle="1" w:styleId="TableHeading">
    <w:name w:val="Table Heading"/>
    <w:basedOn w:val="HeadingBase"/>
    <w:rsid w:val="00BC00EE"/>
    <w:pPr>
      <w:keepLines/>
      <w:pBdr>
        <w:bottom w:val="single" w:sz="6" w:space="1" w:color="918585"/>
      </w:pBdr>
      <w:spacing w:before="240"/>
    </w:pPr>
  </w:style>
  <w:style w:type="character" w:customStyle="1" w:styleId="HotSpot">
    <w:name w:val="HotSpot"/>
    <w:rsid w:val="00BC00EE"/>
    <w:rPr>
      <w:color w:val="0033CC"/>
      <w:u w:val="none"/>
    </w:rPr>
  </w:style>
  <w:style w:type="paragraph" w:customStyle="1" w:styleId="BodyTextRight">
    <w:name w:val="Body Text Right"/>
    <w:basedOn w:val="BodyText"/>
    <w:rsid w:val="00BC00EE"/>
    <w:pPr>
      <w:spacing w:before="0" w:after="0"/>
      <w:jc w:val="right"/>
    </w:pPr>
  </w:style>
  <w:style w:type="paragraph" w:styleId="Index3">
    <w:name w:val="index 3"/>
    <w:basedOn w:val="ListNumber2"/>
    <w:next w:val="Normal"/>
    <w:semiHidden/>
    <w:rsid w:val="00BC00EE"/>
    <w:pPr>
      <w:numPr>
        <w:numId w:val="0"/>
      </w:numPr>
      <w:tabs>
        <w:tab w:val="right" w:leader="dot" w:pos="4176"/>
      </w:tabs>
    </w:pPr>
  </w:style>
  <w:style w:type="paragraph" w:styleId="ListNumber2">
    <w:name w:val="List Number 2"/>
    <w:basedOn w:val="List2"/>
    <w:rsid w:val="00BC00EE"/>
    <w:pPr>
      <w:numPr>
        <w:numId w:val="10"/>
      </w:numPr>
      <w:tabs>
        <w:tab w:val="clear" w:pos="1060"/>
      </w:tabs>
    </w:pPr>
  </w:style>
  <w:style w:type="paragraph" w:customStyle="1" w:styleId="MarginNote">
    <w:name w:val="Margin Note"/>
    <w:basedOn w:val="BodyText"/>
    <w:rsid w:val="00BC0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0EE"/>
    <w:rPr>
      <w:sz w:val="32"/>
    </w:rPr>
  </w:style>
  <w:style w:type="paragraph" w:customStyle="1" w:styleId="HeadingProcedure">
    <w:name w:val="Heading Procedure"/>
    <w:basedOn w:val="HeadingBase"/>
    <w:next w:val="Normal"/>
    <w:rsid w:val="00BC00EE"/>
    <w:pPr>
      <w:tabs>
        <w:tab w:val="left" w:pos="0"/>
      </w:tabs>
      <w:spacing w:before="120" w:after="60"/>
    </w:pPr>
    <w:rPr>
      <w:i/>
      <w:color w:val="918585"/>
      <w:sz w:val="22"/>
    </w:rPr>
  </w:style>
  <w:style w:type="paragraph" w:customStyle="1" w:styleId="TableBodyText">
    <w:name w:val="Table Body Text"/>
    <w:basedOn w:val="BodyText"/>
    <w:rsid w:val="00BC00EE"/>
    <w:pPr>
      <w:spacing w:before="60" w:after="60"/>
    </w:pPr>
  </w:style>
  <w:style w:type="paragraph" w:styleId="ListContinue">
    <w:name w:val="List Continue"/>
    <w:basedOn w:val="List"/>
    <w:rsid w:val="00BC00EE"/>
    <w:pPr>
      <w:ind w:firstLine="0"/>
    </w:pPr>
  </w:style>
  <w:style w:type="paragraph" w:customStyle="1" w:styleId="ListNote">
    <w:name w:val="List Note"/>
    <w:basedOn w:val="List"/>
    <w:rsid w:val="00BC00EE"/>
    <w:pPr>
      <w:pBdr>
        <w:top w:val="single" w:sz="6" w:space="2" w:color="918585"/>
        <w:bottom w:val="single" w:sz="6" w:space="2" w:color="918585"/>
      </w:pBdr>
      <w:tabs>
        <w:tab w:val="left" w:pos="1021"/>
      </w:tabs>
      <w:ind w:firstLine="0"/>
    </w:pPr>
  </w:style>
  <w:style w:type="paragraph" w:customStyle="1" w:styleId="Warning">
    <w:name w:val="Warning"/>
    <w:basedOn w:val="BodyText"/>
    <w:rsid w:val="00BC00EE"/>
    <w:pPr>
      <w:shd w:val="clear" w:color="auto" w:fill="D9D9D9"/>
      <w:tabs>
        <w:tab w:val="left" w:pos="992"/>
      </w:tabs>
      <w:ind w:left="119" w:right="119"/>
    </w:pPr>
    <w:rPr>
      <w:sz w:val="20"/>
    </w:rPr>
  </w:style>
  <w:style w:type="paragraph" w:customStyle="1" w:styleId="MarginIcons">
    <w:name w:val="Margin Icons"/>
    <w:basedOn w:val="BodyText"/>
    <w:rsid w:val="00BC0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0EE"/>
    <w:rPr>
      <w:rFonts w:ascii="Courier New" w:hAnsi="Courier New"/>
    </w:rPr>
  </w:style>
  <w:style w:type="paragraph" w:customStyle="1" w:styleId="NoteBullet">
    <w:name w:val="Note Bullet"/>
    <w:basedOn w:val="Note"/>
    <w:rsid w:val="00BC00EE"/>
    <w:pPr>
      <w:tabs>
        <w:tab w:val="clear" w:pos="680"/>
      </w:tabs>
      <w:spacing w:before="60" w:after="60"/>
    </w:pPr>
  </w:style>
  <w:style w:type="paragraph" w:customStyle="1" w:styleId="SubHeading2">
    <w:name w:val="SubHeading2"/>
    <w:basedOn w:val="HeadingBase"/>
    <w:rsid w:val="00BC00EE"/>
    <w:pPr>
      <w:spacing w:before="240" w:after="60"/>
    </w:pPr>
    <w:rPr>
      <w:sz w:val="20"/>
    </w:rPr>
  </w:style>
  <w:style w:type="paragraph" w:customStyle="1" w:styleId="SubHeading1">
    <w:name w:val="SubHeading1"/>
    <w:basedOn w:val="HeadingBase"/>
    <w:rsid w:val="00BC00EE"/>
    <w:pPr>
      <w:spacing w:before="240" w:after="60"/>
    </w:pPr>
    <w:rPr>
      <w:color w:val="918585"/>
      <w:sz w:val="22"/>
    </w:rPr>
  </w:style>
  <w:style w:type="paragraph" w:customStyle="1" w:styleId="SideHeading">
    <w:name w:val="Side Heading"/>
    <w:basedOn w:val="HeadingBase"/>
    <w:rsid w:val="00BC0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0EE"/>
    <w:pPr>
      <w:numPr>
        <w:numId w:val="12"/>
      </w:numPr>
    </w:pPr>
  </w:style>
  <w:style w:type="paragraph" w:styleId="PlainText">
    <w:name w:val="Plain Text"/>
    <w:basedOn w:val="Normal"/>
    <w:link w:val="PlainTextChar"/>
    <w:rsid w:val="00BC00EE"/>
    <w:rPr>
      <w:sz w:val="20"/>
    </w:rPr>
  </w:style>
  <w:style w:type="character" w:customStyle="1" w:styleId="PlainTextChar">
    <w:name w:val="Plain Text Char"/>
    <w:basedOn w:val="DefaultParagraphFont"/>
    <w:link w:val="PlainText"/>
    <w:rsid w:val="00BC00EE"/>
    <w:rPr>
      <w:rFonts w:ascii="Courier New" w:eastAsia="Times New Roman" w:hAnsi="Courier New" w:cs="Times New Roman"/>
      <w:sz w:val="20"/>
      <w:szCs w:val="20"/>
      <w:lang w:eastAsia="en-US"/>
    </w:rPr>
  </w:style>
  <w:style w:type="character" w:customStyle="1" w:styleId="MenuOption">
    <w:name w:val="Menu Option"/>
    <w:basedOn w:val="DefaultParagraphFont"/>
    <w:rsid w:val="00BC00EE"/>
    <w:rPr>
      <w:b/>
      <w:smallCaps/>
    </w:rPr>
  </w:style>
  <w:style w:type="paragraph" w:customStyle="1" w:styleId="TableListNumber">
    <w:name w:val="Table List Number"/>
    <w:basedOn w:val="ListNumber"/>
    <w:rsid w:val="00BC00EE"/>
    <w:pPr>
      <w:numPr>
        <w:numId w:val="0"/>
      </w:numPr>
    </w:pPr>
  </w:style>
  <w:style w:type="paragraph" w:styleId="TOC4">
    <w:name w:val="toc 4"/>
    <w:basedOn w:val="TOCBase"/>
    <w:next w:val="Normal"/>
    <w:semiHidden/>
    <w:rsid w:val="00BC00EE"/>
    <w:pPr>
      <w:tabs>
        <w:tab w:val="right" w:leader="dot" w:pos="9071"/>
      </w:tabs>
      <w:ind w:left="1701"/>
    </w:pPr>
  </w:style>
  <w:style w:type="paragraph" w:customStyle="1" w:styleId="ListAlpha">
    <w:name w:val="List Alpha"/>
    <w:basedOn w:val="List"/>
    <w:rsid w:val="00BC00EE"/>
    <w:pPr>
      <w:numPr>
        <w:numId w:val="9"/>
      </w:numPr>
    </w:pPr>
  </w:style>
  <w:style w:type="paragraph" w:customStyle="1" w:styleId="ListAlpha2">
    <w:name w:val="List Alpha 2"/>
    <w:basedOn w:val="List2"/>
    <w:rsid w:val="00BC00EE"/>
    <w:pPr>
      <w:numPr>
        <w:numId w:val="8"/>
      </w:numPr>
    </w:pPr>
  </w:style>
  <w:style w:type="paragraph" w:styleId="List3">
    <w:name w:val="List 3"/>
    <w:basedOn w:val="BodyText"/>
    <w:rsid w:val="00BC00EE"/>
    <w:pPr>
      <w:tabs>
        <w:tab w:val="left" w:pos="1021"/>
      </w:tabs>
      <w:spacing w:before="60" w:after="60"/>
      <w:ind w:left="1020" w:hanging="340"/>
    </w:pPr>
  </w:style>
  <w:style w:type="paragraph" w:styleId="List4">
    <w:name w:val="List 4"/>
    <w:basedOn w:val="BodyText"/>
    <w:rsid w:val="00BC00EE"/>
    <w:pPr>
      <w:tabs>
        <w:tab w:val="left" w:pos="1361"/>
      </w:tabs>
      <w:spacing w:before="60" w:after="60"/>
      <w:ind w:left="1361" w:hanging="340"/>
    </w:pPr>
  </w:style>
  <w:style w:type="paragraph" w:styleId="List5">
    <w:name w:val="List 5"/>
    <w:basedOn w:val="BodyText"/>
    <w:rsid w:val="00BC00EE"/>
    <w:pPr>
      <w:tabs>
        <w:tab w:val="left" w:pos="1701"/>
      </w:tabs>
      <w:spacing w:before="60" w:after="60"/>
      <w:ind w:left="1701" w:hanging="340"/>
    </w:pPr>
  </w:style>
  <w:style w:type="paragraph" w:styleId="ListBullet3">
    <w:name w:val="List Bullet 3"/>
    <w:basedOn w:val="List3"/>
    <w:rsid w:val="00BC00EE"/>
    <w:pPr>
      <w:numPr>
        <w:numId w:val="15"/>
      </w:numPr>
      <w:tabs>
        <w:tab w:val="clear" w:pos="1021"/>
      </w:tabs>
      <w:ind w:left="1037" w:hanging="357"/>
    </w:pPr>
  </w:style>
  <w:style w:type="paragraph" w:styleId="ListBullet4">
    <w:name w:val="List Bullet 4"/>
    <w:basedOn w:val="List4"/>
    <w:rsid w:val="00BC00EE"/>
    <w:pPr>
      <w:numPr>
        <w:numId w:val="3"/>
      </w:numPr>
    </w:pPr>
  </w:style>
  <w:style w:type="paragraph" w:styleId="ListBullet5">
    <w:name w:val="List Bullet 5"/>
    <w:basedOn w:val="List5"/>
    <w:rsid w:val="00BC00EE"/>
    <w:pPr>
      <w:numPr>
        <w:numId w:val="4"/>
      </w:numPr>
    </w:pPr>
  </w:style>
  <w:style w:type="paragraph" w:styleId="ListContinue2">
    <w:name w:val="List Continue 2"/>
    <w:basedOn w:val="List2"/>
    <w:rsid w:val="00BC00EE"/>
    <w:pPr>
      <w:ind w:firstLine="0"/>
    </w:pPr>
  </w:style>
  <w:style w:type="paragraph" w:styleId="ListContinue3">
    <w:name w:val="List Continue 3"/>
    <w:basedOn w:val="List3"/>
    <w:rsid w:val="00BC00EE"/>
    <w:pPr>
      <w:ind w:left="1021" w:firstLine="0"/>
    </w:pPr>
  </w:style>
  <w:style w:type="paragraph" w:styleId="ListContinue4">
    <w:name w:val="List Continue 4"/>
    <w:basedOn w:val="List4"/>
    <w:rsid w:val="00BC00EE"/>
    <w:pPr>
      <w:ind w:firstLine="0"/>
    </w:pPr>
  </w:style>
  <w:style w:type="paragraph" w:styleId="ListContinue5">
    <w:name w:val="List Continue 5"/>
    <w:basedOn w:val="List5"/>
    <w:rsid w:val="00BC00EE"/>
    <w:pPr>
      <w:ind w:firstLine="0"/>
    </w:pPr>
  </w:style>
  <w:style w:type="paragraph" w:styleId="ListNumber3">
    <w:name w:val="List Number 3"/>
    <w:basedOn w:val="List3"/>
    <w:rsid w:val="00BC00EE"/>
    <w:pPr>
      <w:numPr>
        <w:numId w:val="5"/>
      </w:numPr>
    </w:pPr>
  </w:style>
  <w:style w:type="paragraph" w:styleId="ListNumber4">
    <w:name w:val="List Number 4"/>
    <w:basedOn w:val="List4"/>
    <w:rsid w:val="00BC00EE"/>
    <w:pPr>
      <w:numPr>
        <w:numId w:val="6"/>
      </w:numPr>
    </w:pPr>
  </w:style>
  <w:style w:type="paragraph" w:styleId="ListNumber5">
    <w:name w:val="List Number 5"/>
    <w:basedOn w:val="List5"/>
    <w:rsid w:val="00BC00EE"/>
    <w:pPr>
      <w:numPr>
        <w:numId w:val="7"/>
      </w:numPr>
    </w:pPr>
  </w:style>
  <w:style w:type="paragraph" w:styleId="BlockText">
    <w:name w:val="Block Text"/>
    <w:basedOn w:val="Normal"/>
    <w:rsid w:val="00BC00EE"/>
    <w:pPr>
      <w:spacing w:after="120"/>
      <w:ind w:left="1440" w:right="1440"/>
    </w:pPr>
  </w:style>
  <w:style w:type="character" w:customStyle="1" w:styleId="Subscript">
    <w:name w:val="Subscript"/>
    <w:basedOn w:val="DefaultParagraphFont"/>
    <w:rsid w:val="00BC00EE"/>
    <w:rPr>
      <w:sz w:val="16"/>
      <w:vertAlign w:val="subscript"/>
    </w:rPr>
  </w:style>
  <w:style w:type="character" w:customStyle="1" w:styleId="Superscript">
    <w:name w:val="Superscript"/>
    <w:basedOn w:val="DefaultParagraphFont"/>
    <w:rsid w:val="00BC00EE"/>
    <w:rPr>
      <w:sz w:val="16"/>
      <w:vertAlign w:val="superscript"/>
    </w:rPr>
  </w:style>
  <w:style w:type="character" w:customStyle="1" w:styleId="Symbols">
    <w:name w:val="Symbols"/>
    <w:basedOn w:val="DefaultParagraphFont"/>
    <w:rsid w:val="00BC00EE"/>
    <w:rPr>
      <w:rFonts w:ascii="Symbol" w:hAnsi="Symbol"/>
    </w:rPr>
  </w:style>
  <w:style w:type="character" w:customStyle="1" w:styleId="MenuOptions">
    <w:name w:val="Menu Options"/>
    <w:basedOn w:val="DefaultParagraphFont"/>
    <w:rsid w:val="00BC00EE"/>
    <w:rPr>
      <w:rFonts w:ascii="Arial Narrow" w:hAnsi="Arial Narrow"/>
      <w:smallCaps/>
    </w:rPr>
  </w:style>
  <w:style w:type="character" w:customStyle="1" w:styleId="Buttons">
    <w:name w:val="Buttons"/>
    <w:basedOn w:val="DefaultParagraphFont"/>
    <w:rsid w:val="00BC00EE"/>
    <w:rPr>
      <w:b/>
    </w:rPr>
  </w:style>
  <w:style w:type="character" w:customStyle="1" w:styleId="Underlined">
    <w:name w:val="Underlined"/>
    <w:basedOn w:val="DefaultParagraphFont"/>
    <w:rsid w:val="00BC00EE"/>
    <w:rPr>
      <w:u w:val="single"/>
    </w:rPr>
  </w:style>
  <w:style w:type="paragraph" w:customStyle="1" w:styleId="TableBodyTextRight">
    <w:name w:val="Table Body Text Right"/>
    <w:basedOn w:val="TableBodyText"/>
    <w:rsid w:val="00BC00EE"/>
    <w:pPr>
      <w:widowControl w:val="0"/>
      <w:autoSpaceDE w:val="0"/>
      <w:autoSpaceDN w:val="0"/>
      <w:adjustRightInd w:val="0"/>
      <w:jc w:val="right"/>
    </w:pPr>
    <w:rPr>
      <w:rFonts w:cs="Arial"/>
      <w:szCs w:val="18"/>
    </w:rPr>
  </w:style>
  <w:style w:type="paragraph" w:customStyle="1" w:styleId="CopyrightText">
    <w:name w:val="Copyright Text"/>
    <w:basedOn w:val="BodyText"/>
    <w:rsid w:val="00BC00EE"/>
    <w:rPr>
      <w:sz w:val="18"/>
    </w:rPr>
  </w:style>
  <w:style w:type="paragraph" w:customStyle="1" w:styleId="BodySmallRight">
    <w:name w:val="Body Small Right"/>
    <w:basedOn w:val="BodyTextRight"/>
    <w:rsid w:val="00BC00EE"/>
    <w:rPr>
      <w:sz w:val="18"/>
      <w:szCs w:val="18"/>
    </w:rPr>
  </w:style>
  <w:style w:type="paragraph" w:customStyle="1" w:styleId="MarginEdition">
    <w:name w:val="Margin Edition"/>
    <w:basedOn w:val="MarginNote"/>
    <w:rsid w:val="00BC00EE"/>
    <w:pPr>
      <w:spacing w:before="0" w:after="0"/>
    </w:pPr>
    <w:rPr>
      <w:rFonts w:ascii="Times New Roman" w:hAnsi="Times New Roman"/>
      <w:color w:val="999999"/>
    </w:rPr>
  </w:style>
  <w:style w:type="paragraph" w:customStyle="1" w:styleId="Spacer">
    <w:name w:val="Spacer"/>
    <w:basedOn w:val="Normal"/>
    <w:rsid w:val="00BC00EE"/>
    <w:rPr>
      <w:sz w:val="2"/>
      <w:szCs w:val="2"/>
    </w:rPr>
  </w:style>
  <w:style w:type="character" w:customStyle="1" w:styleId="Small">
    <w:name w:val="Small"/>
    <w:basedOn w:val="DefaultParagraphFont"/>
    <w:rsid w:val="00BC00EE"/>
    <w:rPr>
      <w:sz w:val="16"/>
    </w:rPr>
  </w:style>
  <w:style w:type="paragraph" w:customStyle="1" w:styleId="WideTable">
    <w:name w:val="Wide Table"/>
    <w:basedOn w:val="Normal"/>
    <w:rsid w:val="00BC00EE"/>
    <w:pPr>
      <w:ind w:left="-1418"/>
    </w:pPr>
    <w:rPr>
      <w:sz w:val="2"/>
      <w:szCs w:val="2"/>
    </w:rPr>
  </w:style>
  <w:style w:type="character" w:styleId="PageNumber">
    <w:name w:val="page number"/>
    <w:basedOn w:val="DefaultParagraphFont"/>
    <w:rsid w:val="00BC00EE"/>
  </w:style>
  <w:style w:type="paragraph" w:styleId="Quote">
    <w:name w:val="Quote"/>
    <w:basedOn w:val="Heading1"/>
    <w:link w:val="QuoteChar"/>
    <w:qFormat/>
    <w:rsid w:val="00BC00EE"/>
    <w:rPr>
      <w:b w:val="0"/>
      <w:sz w:val="72"/>
      <w:szCs w:val="72"/>
      <w:lang w:val="en-NZ"/>
    </w:rPr>
  </w:style>
  <w:style w:type="character" w:customStyle="1" w:styleId="QuoteChar">
    <w:name w:val="Quote Char"/>
    <w:basedOn w:val="DefaultParagraphFont"/>
    <w:link w:val="Quote"/>
    <w:rsid w:val="00BC0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0EE"/>
    <w:pPr>
      <w:pageBreakBefore/>
    </w:pPr>
  </w:style>
  <w:style w:type="paragraph" w:customStyle="1" w:styleId="Border">
    <w:name w:val="Border"/>
    <w:basedOn w:val="Normal"/>
    <w:qFormat/>
    <w:rsid w:val="00BC0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0EE"/>
    <w:rPr>
      <w:b/>
      <w:bCs/>
      <w:i/>
      <w:iCs/>
      <w:color w:val="auto"/>
    </w:rPr>
  </w:style>
  <w:style w:type="paragraph" w:styleId="IntenseQuote">
    <w:name w:val="Intense Quote"/>
    <w:basedOn w:val="Normal"/>
    <w:next w:val="Normal"/>
    <w:link w:val="IntenseQuoteChar"/>
    <w:uiPriority w:val="30"/>
    <w:qFormat/>
    <w:rsid w:val="00BC0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0EE"/>
    <w:rPr>
      <w:smallCaps/>
      <w:color w:val="auto"/>
      <w:u w:val="single"/>
    </w:rPr>
  </w:style>
  <w:style w:type="character" w:styleId="IntenseReference">
    <w:name w:val="Intense Reference"/>
    <w:basedOn w:val="DefaultParagraphFont"/>
    <w:uiPriority w:val="32"/>
    <w:qFormat/>
    <w:rsid w:val="00BC00EE"/>
    <w:rPr>
      <w:b/>
      <w:bCs/>
      <w:smallCaps/>
      <w:color w:val="auto"/>
      <w:spacing w:val="5"/>
      <w:u w:val="single"/>
    </w:rPr>
  </w:style>
  <w:style w:type="paragraph" w:customStyle="1" w:styleId="2ColumnHeading">
    <w:name w:val="2Column Heading"/>
    <w:basedOn w:val="BodyText"/>
    <w:qFormat/>
    <w:rsid w:val="00BC00EE"/>
    <w:pPr>
      <w:spacing w:after="60"/>
      <w:ind w:left="-2268"/>
    </w:pPr>
    <w:rPr>
      <w:b/>
    </w:rPr>
  </w:style>
  <w:style w:type="paragraph" w:customStyle="1" w:styleId="Heading1TOC">
    <w:name w:val="Heading1 TOC"/>
    <w:basedOn w:val="Normal"/>
    <w:qFormat/>
    <w:rsid w:val="00BC00EE"/>
    <w:pPr>
      <w:spacing w:before="240" w:after="120"/>
    </w:pPr>
    <w:rPr>
      <w:rFonts w:ascii="Times New Roman" w:hAnsi="Times New Roman"/>
      <w:b/>
      <w:sz w:val="32"/>
    </w:rPr>
  </w:style>
  <w:style w:type="paragraph" w:customStyle="1" w:styleId="Heading2TOC">
    <w:name w:val="Heading2 TOC"/>
    <w:basedOn w:val="Normal"/>
    <w:qFormat/>
    <w:rsid w:val="00BC00EE"/>
    <w:pPr>
      <w:spacing w:before="240" w:after="60"/>
    </w:pPr>
    <w:rPr>
      <w:rFonts w:ascii="Times New Roman" w:hAnsi="Times New Roman"/>
      <w:b/>
      <w:sz w:val="28"/>
    </w:rPr>
  </w:style>
  <w:style w:type="character" w:customStyle="1" w:styleId="Underline">
    <w:name w:val="Underline"/>
    <w:basedOn w:val="DefaultParagraphFont"/>
    <w:qFormat/>
    <w:rsid w:val="00BC00EE"/>
    <w:rPr>
      <w:u w:val="single"/>
    </w:rPr>
  </w:style>
  <w:style w:type="character" w:customStyle="1" w:styleId="BoldandItalics">
    <w:name w:val="Bold and Italics"/>
    <w:qFormat/>
    <w:rsid w:val="00BC00EE"/>
    <w:rPr>
      <w:b/>
      <w:i/>
      <w:u w:val="none"/>
    </w:rPr>
  </w:style>
  <w:style w:type="paragraph" w:styleId="BalloonText">
    <w:name w:val="Balloon Text"/>
    <w:basedOn w:val="Normal"/>
    <w:link w:val="BalloonTextChar"/>
    <w:rsid w:val="00BC00EE"/>
    <w:rPr>
      <w:rFonts w:ascii="Tahoma" w:hAnsi="Tahoma" w:cs="Tahoma"/>
      <w:sz w:val="16"/>
      <w:szCs w:val="16"/>
    </w:rPr>
  </w:style>
  <w:style w:type="character" w:customStyle="1" w:styleId="BalloonTextChar">
    <w:name w:val="Balloon Text Char"/>
    <w:basedOn w:val="DefaultParagraphFont"/>
    <w:link w:val="BalloonText"/>
    <w:rsid w:val="00BC0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0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0EE"/>
    <w:rPr>
      <w:b/>
      <w:color w:val="660033"/>
      <w:spacing w:val="0"/>
    </w:rPr>
  </w:style>
  <w:style w:type="paragraph" w:customStyle="1" w:styleId="Nameditemlist">
    <w:name w:val="Named item list"/>
    <w:basedOn w:val="BodyText"/>
    <w:qFormat/>
    <w:rsid w:val="00BC00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Words>
  <Characters>6905</Characters>
  <Application>Microsoft Office Word</Application>
  <DocSecurity>0</DocSecurity>
  <Lines>263</Lines>
  <Paragraphs>143</Paragraphs>
  <ScaleCrop>false</ScaleCrop>
  <Company>Author-it Software Corporation Ltd.</Company>
  <LinksUpToDate>false</LinksUpToDate>
  <CharactersWithSpaces>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PMC552005C Process greenware/green products</dc:title>
  <dc:subject>Approved</dc:subject>
  <dc:creator>Manufacturing Skills Australia</dc:creator>
  <cp:keywords>Revision Number: 1</cp:keywords>
  <dc:description>Review Date: 12 April 2008</dc:description>
  <cp:lastModifiedBy>TPCMS</cp:lastModifiedBy>
  <cp:revision>3</cp:revision>
  <dcterms:created xsi:type="dcterms:W3CDTF">2013-10-25T06:28:00Z</dcterms:created>
  <dcterms:modified xsi:type="dcterms:W3CDTF">2013-10-25T06:28:00Z</dcterms:modified>
</cp:coreProperties>
</file>