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3AA" w:rsidP="003133AA">
      <w:pPr>
        <w:pStyle w:val="Title"/>
      </w:pPr>
      <w:r>
        <w:fldChar w:fldCharType="begin"/>
      </w:r>
      <w:r>
        <w:instrText xml:space="preserve"> TITLE   \* MERGEFORMAT </w:instrText>
      </w:r>
      <w:r>
        <w:fldChar w:fldCharType="separate"/>
      </w:r>
      <w:r>
        <w:t>PMC552003C Operate grinding equipment</w:t>
      </w:r>
      <w:r>
        <w:fldChar w:fldCharType="end"/>
      </w:r>
    </w:p>
    <w:p w:rsidR="003133AA" w:rsidP="003133AA">
      <w:pPr>
        <w:pStyle w:val="Version"/>
        <w:sectPr w:rsidSect="00F252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525A" w:rsidP="00F2525A">
      <w:pPr>
        <w:pStyle w:val="SuperHeading"/>
      </w:pPr>
      <w:r w:rsidRPr="00F2525A">
        <w:t>PMC552003C Operate grinding equipment</w:t>
      </w:r>
    </w:p>
    <w:p w:rsidR="00000000" w:rsidRPr="00F2525A" w:rsidP="00F2525A">
      <w:pPr>
        <w:pStyle w:val="SuperHeading"/>
      </w:pPr>
    </w:p>
    <w:p w:rsidR="00000000" w:rsidRPr="00F2525A" w:rsidP="00F2525A">
      <w:pPr>
        <w:pStyle w:val="Heading1"/>
      </w:pPr>
      <w:bookmarkStart w:id="1" w:name="O_109971"/>
      <w:bookmarkEnd w:id="1"/>
      <w:r w:rsidRPr="00F2525A">
        <w:t>Modification History</w:t>
      </w:r>
    </w:p>
    <w:p w:rsidR="00000000" w:rsidRPr="00F2525A" w:rsidP="00F2525A">
      <w:pPr>
        <w:pStyle w:val="BodyText"/>
      </w:pPr>
      <w:r w:rsidRPr="00F2525A">
        <w:t>Not applicable.</w:t>
      </w:r>
    </w:p>
    <w:p w:rsidR="00000000" w:rsidRPr="00F2525A" w:rsidP="00F2525A">
      <w:pPr>
        <w:pStyle w:val="AllowPageBreak"/>
      </w:pPr>
    </w:p>
    <w:p w:rsidR="00000000" w:rsidRPr="00F2525A" w:rsidP="00F2525A">
      <w:pPr>
        <w:pStyle w:val="Heading1"/>
      </w:pPr>
      <w:bookmarkStart w:id="2" w:name="O_109972"/>
      <w:bookmarkEnd w:id="2"/>
      <w:r w:rsidRPr="00F2525A">
        <w:t>Unit Descriptor</w:t>
      </w:r>
    </w:p>
    <w:tbl>
      <w:tblPr>
        <w:tblW w:w="0" w:type="auto"/>
        <w:tblLayout w:type="fixed"/>
        <w:tblCellMar>
          <w:left w:w="62" w:type="dxa"/>
          <w:right w:w="62" w:type="dxa"/>
        </w:tblCellMar>
        <w:tblLook w:val="0000"/>
      </w:tblPr>
      <w:tblGrid>
        <w:gridCol w:w="2666"/>
        <w:gridCol w:w="5856"/>
      </w:tblGrid>
      <w:tr w:rsidTr="003133AA">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t>This unit of competency covers the grinding and size reduction of raw materials, materials in process, product a</w:t>
            </w:r>
            <w:r w:rsidRPr="00F2525A">
              <w:t xml:space="preserve">nd scrap/recycled material. It involves monitoring the process, ensuring a safe work environment, rectifying problems and facilitating output changes. </w:t>
            </w:r>
          </w:p>
        </w:tc>
      </w:tr>
    </w:tbl>
    <w:p w:rsidR="00000000" w:rsidRPr="00F2525A" w:rsidP="00F2525A">
      <w:pPr>
        <w:pStyle w:val="BodyText"/>
      </w:pPr>
    </w:p>
    <w:p w:rsidR="00000000" w:rsidRPr="00F2525A" w:rsidP="00F2525A">
      <w:pPr>
        <w:pStyle w:val="AllowPageBreak"/>
      </w:pPr>
    </w:p>
    <w:p w:rsidR="00000000" w:rsidRPr="00F2525A" w:rsidP="00F2525A">
      <w:pPr>
        <w:pStyle w:val="Heading1"/>
      </w:pPr>
      <w:bookmarkStart w:id="3" w:name="O_109973"/>
      <w:bookmarkEnd w:id="3"/>
      <w:r w:rsidRPr="00F2525A">
        <w:t>Application of the Unit</w:t>
      </w:r>
    </w:p>
    <w:tbl>
      <w:tblPr>
        <w:tblW w:w="0" w:type="auto"/>
        <w:tblLayout w:type="fixed"/>
        <w:tblCellMar>
          <w:left w:w="62" w:type="dxa"/>
          <w:right w:w="62" w:type="dxa"/>
        </w:tblCellMar>
        <w:tblLook w:val="0000"/>
      </w:tblPr>
      <w:tblGrid>
        <w:gridCol w:w="2753"/>
        <w:gridCol w:w="5769"/>
      </w:tblGrid>
      <w:tr w:rsidTr="003133A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t xml:space="preserve">This unit of competency applies to operators who are responsible for preparing materials for grinding; grinding materials and distributing ground materials. </w:t>
            </w:r>
          </w:p>
          <w:p w:rsidR="00000000" w:rsidRPr="00F2525A" w:rsidP="00F2525A">
            <w:pPr>
              <w:pStyle w:val="BodyText"/>
            </w:pPr>
            <w:r w:rsidRPr="00F2525A">
              <w:t>This competency is typically performed by operators working either independently or as part of a w</w:t>
            </w:r>
            <w:r w:rsidRPr="00F2525A">
              <w:t>ork team. At all times they would be liaising with other members of the team.</w:t>
            </w:r>
          </w:p>
        </w:tc>
      </w:tr>
    </w:tbl>
    <w:p w:rsidR="00000000" w:rsidRPr="00F2525A" w:rsidP="00F2525A">
      <w:pPr>
        <w:pStyle w:val="BodyText"/>
      </w:pPr>
    </w:p>
    <w:p w:rsidR="00000000" w:rsidRPr="00F2525A" w:rsidP="00F2525A">
      <w:pPr>
        <w:pStyle w:val="AllowPageBreak"/>
      </w:pPr>
    </w:p>
    <w:p w:rsidR="00000000" w:rsidRPr="00F2525A" w:rsidP="00F2525A">
      <w:pPr>
        <w:pStyle w:val="Heading1"/>
      </w:pPr>
      <w:bookmarkStart w:id="4" w:name="O_109974"/>
      <w:bookmarkEnd w:id="4"/>
      <w:r w:rsidRPr="00F2525A">
        <w:t>Licensing/Regulatory Information</w:t>
      </w:r>
    </w:p>
    <w:p w:rsidR="00000000" w:rsidRPr="00F2525A" w:rsidP="00F2525A">
      <w:pPr>
        <w:pStyle w:val="BodyText"/>
      </w:pPr>
      <w:r w:rsidRPr="00F2525A">
        <w:t>Not applicable.</w:t>
      </w:r>
    </w:p>
    <w:p w:rsidR="00000000" w:rsidRPr="00F2525A" w:rsidP="00F2525A">
      <w:pPr>
        <w:pStyle w:val="AllowPageBreak"/>
      </w:pPr>
    </w:p>
    <w:p w:rsidR="00000000" w:rsidRPr="00F2525A" w:rsidP="00F2525A">
      <w:pPr>
        <w:pStyle w:val="Heading1"/>
      </w:pPr>
      <w:bookmarkStart w:id="5" w:name="O_109976"/>
      <w:bookmarkEnd w:id="5"/>
      <w:r w:rsidRPr="00F2525A">
        <w:t>Pre-Requisites</w:t>
      </w:r>
    </w:p>
    <w:tbl>
      <w:tblPr>
        <w:tblW w:w="0" w:type="auto"/>
        <w:tblLayout w:type="fixed"/>
        <w:tblCellMar>
          <w:left w:w="62" w:type="dxa"/>
          <w:right w:w="62" w:type="dxa"/>
        </w:tblCellMar>
        <w:tblLook w:val="0000"/>
      </w:tblPr>
      <w:tblGrid>
        <w:gridCol w:w="2775"/>
        <w:gridCol w:w="1295"/>
        <w:gridCol w:w="4452"/>
      </w:tblGrid>
      <w:tr w:rsidTr="003133A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p>
        </w:tc>
      </w:tr>
      <w:tr w:rsidTr="003133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p>
        </w:tc>
      </w:tr>
      <w:tr w:rsidTr="003133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p>
        </w:tc>
      </w:tr>
    </w:tbl>
    <w:p w:rsidR="00000000" w:rsidRPr="00F2525A" w:rsidP="00F2525A">
      <w:pPr>
        <w:pStyle w:val="BodyText"/>
      </w:pPr>
    </w:p>
    <w:p w:rsidR="00000000" w:rsidRPr="00F2525A" w:rsidP="00F2525A">
      <w:pPr>
        <w:pStyle w:val="AllowPageBreak"/>
      </w:pPr>
    </w:p>
    <w:p w:rsidR="00000000" w:rsidRPr="00F2525A" w:rsidP="00F2525A">
      <w:pPr>
        <w:pStyle w:val="Heading1"/>
      </w:pPr>
      <w:bookmarkStart w:id="6" w:name="O_109975"/>
      <w:bookmarkEnd w:id="6"/>
      <w:r w:rsidRPr="00F2525A">
        <w:t>Employability Skills Information</w:t>
      </w:r>
    </w:p>
    <w:tbl>
      <w:tblPr>
        <w:tblW w:w="0" w:type="auto"/>
        <w:tblLayout w:type="fixed"/>
        <w:tblCellMar>
          <w:left w:w="62" w:type="dxa"/>
          <w:right w:w="62" w:type="dxa"/>
        </w:tblCellMar>
        <w:tblLook w:val="0000"/>
      </w:tblPr>
      <w:tblGrid>
        <w:gridCol w:w="2802"/>
        <w:gridCol w:w="5720"/>
      </w:tblGrid>
      <w:tr w:rsidTr="003133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t>This unit contains employability skills.</w:t>
            </w:r>
          </w:p>
        </w:tc>
      </w:tr>
    </w:tbl>
    <w:p w:rsidR="00000000" w:rsidRPr="00F2525A" w:rsidP="00F2525A">
      <w:pPr>
        <w:pStyle w:val="BodyText"/>
      </w:pPr>
    </w:p>
    <w:p w:rsidR="00000000" w:rsidRPr="00F2525A" w:rsidP="00F2525A">
      <w:pPr>
        <w:pStyle w:val="AllowPageBreak"/>
      </w:pPr>
    </w:p>
    <w:p w:rsidR="00000000" w:rsidRPr="00F2525A" w:rsidP="00F2525A">
      <w:pPr>
        <w:pStyle w:val="Heading1"/>
      </w:pPr>
      <w:bookmarkStart w:id="7" w:name="O_109977"/>
      <w:bookmarkEnd w:id="7"/>
      <w:r w:rsidRPr="00F2525A">
        <w:t>Elements and Performance Criteria Pre-Content</w:t>
      </w:r>
    </w:p>
    <w:tbl>
      <w:tblPr>
        <w:tblW w:w="0" w:type="auto"/>
        <w:tblLayout w:type="fixed"/>
        <w:tblCellMar>
          <w:left w:w="62" w:type="dxa"/>
          <w:right w:w="62" w:type="dxa"/>
        </w:tblCellMar>
        <w:tblLook w:val="0000"/>
      </w:tblPr>
      <w:tblGrid>
        <w:gridCol w:w="2552"/>
        <w:gridCol w:w="5970"/>
      </w:tblGrid>
      <w:tr w:rsidTr="003133A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t>Performance criteria describe the performance needed to demonstrate achievement of the element. Where bold italicised text is used, further information is detailed in the required skills and knowledge section and the range statement. Assessment of performa</w:t>
            </w:r>
            <w:r w:rsidRPr="00F2525A">
              <w:t>nce is to be consistent with the evidence guide.</w:t>
            </w:r>
          </w:p>
        </w:tc>
      </w:tr>
    </w:tbl>
    <w:p w:rsidR="00000000" w:rsidRPr="00F2525A" w:rsidP="00F2525A">
      <w:pPr>
        <w:pStyle w:val="BodyText"/>
      </w:pPr>
    </w:p>
    <w:p w:rsidR="00000000" w:rsidRPr="00F2525A" w:rsidP="00F2525A">
      <w:pPr>
        <w:pStyle w:val="AllowPageBreak"/>
      </w:pPr>
    </w:p>
    <w:p w:rsidR="00000000" w:rsidRPr="00F2525A" w:rsidP="00F2525A">
      <w:pPr>
        <w:pStyle w:val="Heading1"/>
      </w:pPr>
      <w:bookmarkStart w:id="8" w:name="O_109978"/>
      <w:bookmarkEnd w:id="8"/>
      <w:r w:rsidRPr="00F2525A">
        <w:t>Elements and Performance Criteria</w:t>
      </w:r>
    </w:p>
    <w:tbl>
      <w:tblPr>
        <w:tblW w:w="0" w:type="auto"/>
        <w:tblLayout w:type="fixed"/>
        <w:tblCellMar>
          <w:left w:w="62" w:type="dxa"/>
          <w:right w:w="62" w:type="dxa"/>
        </w:tblCellMar>
        <w:tblLook w:val="0000"/>
      </w:tblPr>
      <w:tblGrid>
        <w:gridCol w:w="2552"/>
        <w:gridCol w:w="5970"/>
      </w:tblGrid>
      <w:tr w:rsidTr="003133AA">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PERFORMANCE CRITERIA</w:t>
            </w:r>
          </w:p>
        </w:tc>
      </w:tr>
      <w:tr w:rsidTr="003133A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List"/>
              <w:rPr>
                <w:lang w:val="en-NZ"/>
              </w:rPr>
            </w:pPr>
            <w:r w:rsidRPr="00F2525A">
              <w:t>1.</w:t>
            </w:r>
            <w:r w:rsidRPr="00F2525A">
              <w:tab/>
              <w:t>Prepare to grind materials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List2"/>
            </w:pPr>
            <w:r w:rsidRPr="00F2525A">
              <w:t>1.1.</w:t>
            </w:r>
            <w:r w:rsidRPr="00F2525A">
              <w:tab/>
              <w:t>Check equipment fo</w:t>
            </w:r>
            <w:r w:rsidRPr="00F2525A">
              <w:t>r hazards, danger and isolation tags in accordance with standard operating procedures</w:t>
            </w:r>
          </w:p>
          <w:p w:rsidR="00000000" w:rsidRPr="00F2525A" w:rsidP="00F2525A">
            <w:pPr>
              <w:pStyle w:val="List2"/>
            </w:pPr>
            <w:r w:rsidRPr="00F2525A">
              <w:t>1.2.</w:t>
            </w:r>
            <w:r w:rsidRPr="00F2525A">
              <w:tab/>
              <w:t>Perform checks to ensure all doors, inspection openings and guards are in position and secure</w:t>
            </w:r>
          </w:p>
          <w:p w:rsidR="00000000" w:rsidRPr="00F2525A" w:rsidP="00F2525A">
            <w:pPr>
              <w:pStyle w:val="List2"/>
            </w:pPr>
            <w:r w:rsidRPr="00F2525A">
              <w:t>1.3.</w:t>
            </w:r>
            <w:r w:rsidRPr="00F2525A">
              <w:tab/>
              <w:t xml:space="preserve">Make adjustments to equipment settings to ensure conformance with </w:t>
            </w:r>
            <w:r w:rsidRPr="00F2525A">
              <w:t>standard operating procedures</w:t>
            </w:r>
          </w:p>
          <w:p w:rsidR="00000000" w:rsidRPr="00F2525A" w:rsidP="00F2525A">
            <w:pPr>
              <w:pStyle w:val="List2"/>
            </w:pPr>
            <w:r w:rsidRPr="00F2525A">
              <w:t>1.4.</w:t>
            </w:r>
            <w:r w:rsidRPr="00F2525A">
              <w:tab/>
              <w:t>Notify appropriate personnel of intention to start equipment</w:t>
            </w:r>
          </w:p>
          <w:p w:rsidR="00000000" w:rsidRPr="00F2525A" w:rsidP="00F2525A">
            <w:pPr>
              <w:pStyle w:val="List2"/>
            </w:pPr>
            <w:r w:rsidRPr="00F2525A">
              <w:t>1.5.</w:t>
            </w:r>
            <w:r w:rsidRPr="00F2525A">
              <w:tab/>
              <w:t>Conduct additional pre-start checks as required in accordance with standard operating procedures</w:t>
            </w:r>
          </w:p>
          <w:p w:rsidR="00000000" w:rsidP="00F2525A">
            <w:pPr>
              <w:pStyle w:val="List2"/>
              <w:rPr>
                <w:lang w:val="en-NZ"/>
              </w:rPr>
            </w:pPr>
            <w:r w:rsidRPr="00F2525A">
              <w:t>1.6.</w:t>
            </w:r>
            <w:r w:rsidRPr="00F2525A">
              <w:tab/>
              <w:t>Ensure an adequate supply of materials is available t</w:t>
            </w:r>
            <w:r w:rsidRPr="00F2525A">
              <w:t>o meet production requirements</w:t>
            </w:r>
          </w:p>
        </w:tc>
      </w:tr>
      <w:tr w:rsidTr="003133A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List"/>
              <w:rPr>
                <w:lang w:val="en-NZ"/>
              </w:rPr>
            </w:pPr>
            <w:r w:rsidRPr="00F2525A">
              <w:t>2.</w:t>
            </w:r>
            <w:r w:rsidRPr="00F2525A">
              <w:tab/>
              <w:t>Grind materials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List2"/>
            </w:pPr>
            <w:r w:rsidRPr="00F2525A">
              <w:t>2.1.</w:t>
            </w:r>
            <w:r w:rsidRPr="00F2525A">
              <w:tab/>
              <w:t>Start equipment in sequence in accordance with standard operating procedures</w:t>
            </w:r>
          </w:p>
          <w:p w:rsidR="00000000" w:rsidRPr="00F2525A" w:rsidP="00F2525A">
            <w:pPr>
              <w:pStyle w:val="List2"/>
            </w:pPr>
            <w:r w:rsidRPr="00F2525A">
              <w:t>2.2.</w:t>
            </w:r>
            <w:r w:rsidRPr="00F2525A">
              <w:tab/>
              <w:t>Monitor instrument/control panels and adjust as necessary to remain within specified operating parameters</w:t>
            </w:r>
          </w:p>
          <w:p w:rsidR="00000000" w:rsidRPr="00F2525A" w:rsidP="00F2525A">
            <w:pPr>
              <w:pStyle w:val="List2"/>
            </w:pPr>
            <w:r w:rsidRPr="00F2525A">
              <w:t>2.3.</w:t>
            </w:r>
            <w:r w:rsidRPr="00F2525A">
              <w:tab/>
              <w:t>Make ph</w:t>
            </w:r>
            <w:r w:rsidRPr="00F2525A">
              <w:t>ysical inspections of plant and equipment at specified intervals to identify any anomalies in standard operating procedures</w:t>
            </w:r>
          </w:p>
          <w:p w:rsidR="00000000" w:rsidRPr="00F2525A" w:rsidP="00F2525A">
            <w:pPr>
              <w:pStyle w:val="List2"/>
            </w:pPr>
            <w:r w:rsidRPr="00F2525A">
              <w:t>2.4.</w:t>
            </w:r>
            <w:r w:rsidRPr="00F2525A">
              <w:tab/>
              <w:t>Maximise product throughput and efficiency to maintain target parameters</w:t>
            </w:r>
          </w:p>
          <w:p w:rsidR="00000000" w:rsidRPr="00F2525A" w:rsidP="00F2525A">
            <w:pPr>
              <w:pStyle w:val="List2"/>
            </w:pPr>
            <w:r w:rsidRPr="00F2525A">
              <w:t>2.5.</w:t>
            </w:r>
            <w:r w:rsidRPr="00F2525A">
              <w:tab/>
              <w:t xml:space="preserve">Communicate with appropriate personnel regarding </w:t>
            </w:r>
            <w:r w:rsidRPr="00F2525A">
              <w:t>the status of operations in line with enterprise requirements</w:t>
            </w:r>
          </w:p>
          <w:p w:rsidR="00000000" w:rsidRPr="00F2525A" w:rsidP="00F2525A">
            <w:pPr>
              <w:pStyle w:val="List2"/>
            </w:pPr>
            <w:r w:rsidRPr="00F2525A">
              <w:t>2.6.</w:t>
            </w:r>
            <w:r w:rsidRPr="00F2525A">
              <w:tab/>
              <w:t>Employ safe working practices which conform with occupational health and safety (OHS) and enterprise requirements</w:t>
            </w:r>
          </w:p>
          <w:p w:rsidR="00000000" w:rsidP="00F2525A">
            <w:pPr>
              <w:pStyle w:val="List2"/>
              <w:rPr>
                <w:lang w:val="en-NZ"/>
              </w:rPr>
            </w:pPr>
            <w:r w:rsidRPr="00F2525A">
              <w:t>2.7.</w:t>
            </w:r>
            <w:r w:rsidRPr="00F2525A">
              <w:tab/>
            </w:r>
            <w:r w:rsidRPr="00F2525A">
              <w:t>Shut down equipment in accordance with procedures and complete required records</w:t>
            </w:r>
          </w:p>
        </w:tc>
      </w:tr>
      <w:tr w:rsidTr="003133A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List"/>
              <w:rPr>
                <w:lang w:val="en-NZ"/>
              </w:rPr>
            </w:pPr>
            <w:r w:rsidRPr="00F2525A">
              <w:t>3.</w:t>
            </w:r>
            <w:r w:rsidRPr="00F2525A">
              <w:tab/>
              <w:t>Rectify routine problems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List2"/>
            </w:pPr>
            <w:r w:rsidRPr="00F2525A">
              <w:t>3.1.</w:t>
            </w:r>
            <w:r w:rsidRPr="00F2525A">
              <w:tab/>
              <w:t>Identify the range of faults that can occur during the operation</w:t>
            </w:r>
          </w:p>
          <w:p w:rsidR="00000000" w:rsidRPr="00F2525A" w:rsidP="00F2525A">
            <w:pPr>
              <w:pStyle w:val="List2"/>
            </w:pPr>
            <w:r w:rsidRPr="00F2525A">
              <w:t>3.2.</w:t>
            </w:r>
            <w:r w:rsidRPr="00F2525A">
              <w:tab/>
              <w:t>Determine and rectify faults caused by procedures</w:t>
            </w:r>
          </w:p>
          <w:p w:rsidR="00000000" w:rsidRPr="00F2525A" w:rsidP="00F2525A">
            <w:pPr>
              <w:pStyle w:val="List2"/>
            </w:pPr>
            <w:r w:rsidRPr="00F2525A">
              <w:t>3.3.</w:t>
            </w:r>
            <w:r w:rsidRPr="00F2525A">
              <w:tab/>
              <w:t>Identify and rect</w:t>
            </w:r>
            <w:r w:rsidRPr="00F2525A">
              <w:t>ify equipment failure causes in accordance with procedures</w:t>
            </w:r>
          </w:p>
          <w:p w:rsidR="00000000" w:rsidRPr="00F2525A" w:rsidP="00F2525A">
            <w:pPr>
              <w:pStyle w:val="List2"/>
            </w:pPr>
            <w:r w:rsidRPr="00F2525A">
              <w:t>3.4.</w:t>
            </w:r>
            <w:r w:rsidRPr="00F2525A">
              <w:tab/>
              <w:t>Make sure appropriate records and log books of equipment operations are maintained to meet procedures</w:t>
            </w:r>
          </w:p>
          <w:p w:rsidR="00000000" w:rsidP="00F2525A">
            <w:pPr>
              <w:pStyle w:val="List2"/>
              <w:rPr>
                <w:lang w:val="en-NZ"/>
              </w:rPr>
            </w:pPr>
            <w:r w:rsidRPr="00F2525A">
              <w:t>3.5.</w:t>
            </w:r>
            <w:r w:rsidRPr="00F2525A">
              <w:tab/>
              <w:t>Identify non-routine problems and report to designated person</w:t>
            </w:r>
          </w:p>
        </w:tc>
      </w:tr>
      <w:tr w:rsidTr="003133A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List"/>
              <w:rPr>
                <w:lang w:val="en-NZ"/>
              </w:rPr>
            </w:pPr>
            <w:r w:rsidRPr="00F2525A">
              <w:t>4.</w:t>
            </w:r>
            <w:r w:rsidRPr="00F2525A">
              <w:tab/>
              <w:t>Distribute ground p</w:t>
            </w:r>
            <w:r w:rsidRPr="00F2525A">
              <w:t>roduct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List2"/>
            </w:pPr>
            <w:r w:rsidRPr="00F2525A">
              <w:t>4.1.</w:t>
            </w:r>
            <w:r w:rsidRPr="00F2525A">
              <w:tab/>
              <w:t>Distribute ground materials to their correct silo/storage area in accordance with standard operating procedures</w:t>
            </w:r>
          </w:p>
          <w:p w:rsidR="00000000" w:rsidP="00F2525A">
            <w:pPr>
              <w:pStyle w:val="List2"/>
              <w:rPr>
                <w:lang w:val="en-NZ"/>
              </w:rPr>
            </w:pPr>
            <w:r w:rsidRPr="00F2525A">
              <w:t>4.2.</w:t>
            </w:r>
            <w:r w:rsidRPr="00F2525A">
              <w:tab/>
              <w:t>Monitor silo/storage areas to ensure compliance with enterprise storage quality/quantity requirements.</w:t>
            </w:r>
          </w:p>
        </w:tc>
      </w:tr>
      <w:tr w:rsidTr="003133A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List"/>
              <w:rPr>
                <w:lang w:val="en-NZ"/>
              </w:rPr>
            </w:pPr>
            <w:r w:rsidRPr="00F2525A">
              <w:t>5.</w:t>
            </w:r>
            <w:r w:rsidRPr="00F2525A">
              <w:tab/>
              <w:t>Control hazards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List2"/>
            </w:pPr>
            <w:r w:rsidRPr="00F2525A">
              <w:t>5.1.</w:t>
            </w:r>
            <w:r w:rsidRPr="00F2525A">
              <w:tab/>
              <w:t>Identify hazards in the grinding work area</w:t>
            </w:r>
          </w:p>
          <w:p w:rsidR="00000000" w:rsidRPr="00F2525A" w:rsidP="00F2525A">
            <w:pPr>
              <w:pStyle w:val="List2"/>
            </w:pPr>
            <w:r w:rsidRPr="00F2525A">
              <w:t>5.2.</w:t>
            </w:r>
            <w:r w:rsidRPr="00F2525A">
              <w:tab/>
              <w:t>Assess the risks arising from those hazards</w:t>
            </w:r>
          </w:p>
          <w:p w:rsidR="00000000" w:rsidRPr="00F2525A" w:rsidP="00F2525A">
            <w:pPr>
              <w:pStyle w:val="List2"/>
            </w:pPr>
            <w:r w:rsidRPr="00F2525A">
              <w:t>5.3.</w:t>
            </w:r>
            <w:r w:rsidRPr="00F2525A">
              <w:tab/>
              <w:t xml:space="preserve">Implement measures to control those risks in line with procedures </w:t>
            </w:r>
          </w:p>
          <w:p w:rsidR="00000000" w:rsidRPr="00F2525A" w:rsidP="00F2525A">
            <w:pPr>
              <w:pStyle w:val="List2"/>
            </w:pPr>
            <w:r w:rsidRPr="00F2525A">
              <w:t>5.4.</w:t>
            </w:r>
            <w:r w:rsidRPr="00F2525A">
              <w:tab/>
              <w:t>Shut down in an emergency as required</w:t>
            </w:r>
          </w:p>
        </w:tc>
      </w:tr>
    </w:tbl>
    <w:p w:rsidR="00000000" w:rsidRPr="00F2525A" w:rsidP="00F2525A">
      <w:pPr>
        <w:pStyle w:val="BodyText"/>
      </w:pPr>
    </w:p>
    <w:p w:rsidR="00000000" w:rsidRPr="00F2525A" w:rsidP="00F2525A">
      <w:pPr>
        <w:pStyle w:val="AllowPageBreak"/>
      </w:pPr>
    </w:p>
    <w:p w:rsidR="00000000" w:rsidRPr="00F2525A" w:rsidP="00F2525A">
      <w:pPr>
        <w:pStyle w:val="Heading1"/>
      </w:pPr>
      <w:bookmarkStart w:id="9" w:name="O_109979"/>
      <w:bookmarkEnd w:id="9"/>
      <w:r w:rsidRPr="00F2525A">
        <w:t>Required Skills and Knowledge</w:t>
      </w:r>
    </w:p>
    <w:tbl>
      <w:tblPr>
        <w:tblW w:w="0" w:type="auto"/>
        <w:tblLayout w:type="fixed"/>
        <w:tblCellMar>
          <w:left w:w="62" w:type="dxa"/>
          <w:right w:w="62" w:type="dxa"/>
        </w:tblCellMar>
        <w:tblLook w:val="0000"/>
      </w:tblPr>
      <w:tblGrid>
        <w:gridCol w:w="8522"/>
      </w:tblGrid>
      <w:tr w:rsidTr="003133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REQUIRED SKILLS AND KNOWLEDGE</w:t>
            </w:r>
          </w:p>
        </w:tc>
      </w:tr>
      <w:tr w:rsidTr="003133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t>This section describes the skills and knowledge required for this unit.</w:t>
            </w:r>
          </w:p>
        </w:tc>
      </w:tr>
      <w:tr w:rsidTr="003133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Required skills</w:t>
            </w:r>
          </w:p>
        </w:tc>
      </w:tr>
      <w:tr w:rsidTr="003133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t>Required skills include:</w:t>
            </w:r>
          </w:p>
          <w:p w:rsidR="00000000" w:rsidRPr="00F2525A" w:rsidP="00F2525A">
            <w:pPr>
              <w:pStyle w:val="ListBullet"/>
            </w:pPr>
            <w:r w:rsidRPr="00F2525A">
              <w:t xml:space="preserve">recognising process conditions which will lead to out of specification production </w:t>
            </w:r>
            <w:r w:rsidRPr="00F2525A">
              <w:t>and taking appropriate action</w:t>
            </w:r>
          </w:p>
          <w:p w:rsidR="00000000" w:rsidRPr="00F2525A" w:rsidP="00F2525A">
            <w:pPr>
              <w:pStyle w:val="ListBullet"/>
            </w:pPr>
            <w:r w:rsidRPr="00F2525A">
              <w:t>implementing the enterprise's standard procedures and work instructions and relevant regulatory requirements within appropriate time constraints and in a manner relevant to the operation of grinding equipment</w:t>
            </w:r>
          </w:p>
          <w:p w:rsidR="00000000" w:rsidP="00F2525A">
            <w:pPr>
              <w:pStyle w:val="ListBullet"/>
              <w:rPr>
                <w:lang w:val="en-NZ"/>
              </w:rPr>
            </w:pPr>
            <w:r w:rsidRPr="00F2525A">
              <w:t>reading and numer</w:t>
            </w:r>
            <w:r w:rsidRPr="00F2525A">
              <w:t>acy is required to the level of interpreting workplace documents and technical information</w:t>
            </w:r>
          </w:p>
        </w:tc>
      </w:tr>
      <w:tr w:rsidTr="003133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Required knowledge</w:t>
            </w:r>
          </w:p>
        </w:tc>
      </w:tr>
      <w:tr w:rsidTr="003133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t>Required knowledge includes:</w:t>
            </w:r>
          </w:p>
          <w:p w:rsidR="00000000" w:rsidRPr="00F2525A" w:rsidP="00F2525A">
            <w:pPr>
              <w:pStyle w:val="ListBullet"/>
            </w:pPr>
            <w:r w:rsidRPr="00F2525A">
              <w:t>startup and shutdown processes</w:t>
            </w:r>
          </w:p>
          <w:p w:rsidR="00000000" w:rsidRPr="00F2525A" w:rsidP="00F2525A">
            <w:pPr>
              <w:pStyle w:val="ListBullet"/>
            </w:pPr>
            <w:r w:rsidRPr="00F2525A">
              <w:t>construction and limitations of the grinding equipment and conditions</w:t>
            </w:r>
          </w:p>
          <w:p w:rsidR="00000000" w:rsidRPr="00F2525A" w:rsidP="00F2525A">
            <w:pPr>
              <w:pStyle w:val="ListBullet"/>
            </w:pPr>
            <w:r w:rsidRPr="00F2525A">
              <w:t>grinding fundamentals</w:t>
            </w:r>
          </w:p>
          <w:p w:rsidR="00000000" w:rsidRPr="00F2525A" w:rsidP="00F2525A">
            <w:pPr>
              <w:pStyle w:val="ListBullet"/>
            </w:pPr>
            <w:r w:rsidRPr="00F2525A">
              <w:t>out of specification situations</w:t>
            </w:r>
          </w:p>
          <w:p w:rsidR="00000000" w:rsidRPr="00F2525A" w:rsidP="00F2525A">
            <w:pPr>
              <w:pStyle w:val="ListBullet"/>
            </w:pPr>
            <w:r w:rsidRPr="00F2525A">
              <w:t>physics and chemistry (where appropriate) of process</w:t>
            </w:r>
          </w:p>
          <w:p w:rsidR="00000000" w:rsidRPr="00F2525A" w:rsidP="00F2525A">
            <w:pPr>
              <w:pStyle w:val="ListBullet"/>
            </w:pPr>
            <w:r w:rsidRPr="00F2525A">
              <w:t>principles of operation of process</w:t>
            </w:r>
          </w:p>
          <w:p w:rsidR="00000000" w:rsidRPr="00F2525A" w:rsidP="00F2525A">
            <w:pPr>
              <w:pStyle w:val="ListBullet"/>
            </w:pPr>
            <w:r w:rsidRPr="00F2525A">
              <w:t>control philosophy of process</w:t>
            </w:r>
          </w:p>
          <w:p w:rsidR="00000000" w:rsidRPr="00F2525A" w:rsidP="00F2525A">
            <w:pPr>
              <w:pStyle w:val="ListBullet"/>
            </w:pPr>
            <w:r w:rsidRPr="00F2525A">
              <w:t>distinguish between causes of faults such as:</w:t>
            </w:r>
          </w:p>
          <w:p w:rsidR="00000000" w:rsidRPr="00F2525A" w:rsidP="00F2525A">
            <w:pPr>
              <w:pStyle w:val="ListBullet2"/>
            </w:pPr>
            <w:r w:rsidRPr="00F2525A">
              <w:t>raw material variations</w:t>
            </w:r>
          </w:p>
          <w:p w:rsidR="00000000" w:rsidRPr="00F2525A" w:rsidP="00F2525A">
            <w:pPr>
              <w:pStyle w:val="ListBullet2"/>
            </w:pPr>
            <w:r w:rsidRPr="00F2525A">
              <w:t>mechanical abnormalities</w:t>
            </w:r>
          </w:p>
          <w:p w:rsidR="00000000" w:rsidRPr="00F2525A" w:rsidP="00F2525A">
            <w:pPr>
              <w:pStyle w:val="ListBullet2"/>
            </w:pPr>
            <w:r w:rsidRPr="00F2525A">
              <w:t>electrical/instrument reading variations</w:t>
            </w:r>
          </w:p>
        </w:tc>
      </w:tr>
    </w:tbl>
    <w:p w:rsidR="00000000" w:rsidRPr="00F2525A" w:rsidP="00F2525A">
      <w:pPr>
        <w:pStyle w:val="BodyText"/>
      </w:pPr>
    </w:p>
    <w:p w:rsidR="00000000" w:rsidRPr="00F2525A" w:rsidP="00F2525A">
      <w:pPr>
        <w:pStyle w:val="AllowPageBreak"/>
      </w:pPr>
    </w:p>
    <w:p w:rsidR="00000000" w:rsidRPr="00F2525A" w:rsidP="00F2525A">
      <w:pPr>
        <w:pStyle w:val="Heading1"/>
      </w:pPr>
      <w:bookmarkStart w:id="10" w:name="O_109980"/>
      <w:bookmarkEnd w:id="10"/>
      <w:r w:rsidRPr="00F2525A">
        <w:t>Evidence Guide</w:t>
      </w:r>
    </w:p>
    <w:tbl>
      <w:tblPr>
        <w:tblW w:w="9570" w:type="dxa"/>
        <w:tblLayout w:type="fixed"/>
        <w:tblCellMar>
          <w:left w:w="62" w:type="dxa"/>
          <w:right w:w="62" w:type="dxa"/>
        </w:tblCellMar>
        <w:tblLook w:val="0000"/>
      </w:tblPr>
      <w:tblGrid>
        <w:gridCol w:w="3908"/>
        <w:gridCol w:w="5662"/>
      </w:tblGrid>
      <w:tr w:rsidTr="003133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EVIDENCE GUIDE</w:t>
            </w:r>
          </w:p>
        </w:tc>
      </w:tr>
      <w:tr w:rsidTr="003133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t>The Evidence Guide provides advice on assessment and must be read in conjunction with the performance criteria, required skills and knowledge, range statement and the Assessment Guidelines for the Training Package.</w:t>
            </w:r>
          </w:p>
        </w:tc>
      </w:tr>
      <w:tr w:rsidTr="003133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t>The unit will be</w:t>
            </w:r>
            <w:r w:rsidRPr="00F2525A">
              <w:t xml:space="preserve"> assessed in as holistic a manner as is practical and may be integrated with the assessment of other relevant units of competency. </w:t>
            </w:r>
          </w:p>
        </w:tc>
      </w:tr>
      <w:tr w:rsidTr="003133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t>It is essential that the equip</w:t>
            </w:r>
            <w:r w:rsidRPr="00F2525A">
              <w:t>ment and process be understood and that the importance of critical material properties is known.</w:t>
            </w:r>
          </w:p>
          <w:p w:rsidR="00000000" w:rsidRPr="00F2525A" w:rsidP="00F2525A">
            <w:pPr>
              <w:pStyle w:val="BodyText"/>
            </w:pPr>
            <w:r w:rsidRPr="00F2525A">
              <w:t>Competence must be demonstrated in the ability to recognise and analyse potential situations requiring action and then in reporting the condition to the approp</w:t>
            </w:r>
            <w:r w:rsidRPr="00F2525A">
              <w:t>riate individual.</w:t>
            </w:r>
          </w:p>
          <w:p w:rsidR="00000000" w:rsidRPr="00F2525A" w:rsidP="00F2525A">
            <w:pPr>
              <w:pStyle w:val="BodyText"/>
            </w:pPr>
            <w:r w:rsidRPr="00F2525A">
              <w:t>Consistent performance at the required standard should be demonstrated. In particular look to see that:</w:t>
            </w:r>
          </w:p>
          <w:p w:rsidR="00000000" w:rsidRPr="00F2525A" w:rsidP="00F2525A">
            <w:pPr>
              <w:pStyle w:val="ListBullet"/>
            </w:pPr>
            <w:r w:rsidRPr="00F2525A">
              <w:t>types of materials to be ground and their additives are identified</w:t>
            </w:r>
          </w:p>
          <w:p w:rsidR="00000000" w:rsidRPr="00F2525A" w:rsidP="00F2525A">
            <w:pPr>
              <w:pStyle w:val="ListBullet"/>
            </w:pPr>
            <w:r w:rsidRPr="00F2525A">
              <w:t>individual material feed and distribution systems are understood</w:t>
            </w:r>
          </w:p>
          <w:p w:rsidR="00000000" w:rsidRPr="00F2525A" w:rsidP="00F2525A">
            <w:pPr>
              <w:pStyle w:val="ListBullet"/>
            </w:pPr>
            <w:r w:rsidRPr="00F2525A">
              <w:t>OHS and safe work practices are followed</w:t>
            </w:r>
          </w:p>
          <w:p w:rsidR="00000000" w:rsidRPr="00F2525A" w:rsidP="00F2525A">
            <w:pPr>
              <w:pStyle w:val="ListBullet"/>
            </w:pPr>
            <w:r w:rsidRPr="00F2525A">
              <w:t>signage, tags and isolation procedures are followed</w:t>
            </w:r>
          </w:p>
          <w:p w:rsidR="00000000" w:rsidRPr="00F2525A" w:rsidP="00F2525A">
            <w:pPr>
              <w:pStyle w:val="ListBullet"/>
            </w:pPr>
            <w:r w:rsidRPr="00F2525A">
              <w:t>basic maintenance and inspection practices are carried out.</w:t>
            </w:r>
          </w:p>
          <w:p w:rsidR="00000000" w:rsidP="00F2525A">
            <w:pPr>
              <w:pStyle w:val="BodyText"/>
              <w:rPr>
                <w:lang w:val="en-NZ"/>
              </w:rPr>
            </w:pPr>
            <w:r w:rsidRPr="00F2525A">
              <w:t>Competence must be demonstrated in the operation of all ancillary equipment to the level required for t</w:t>
            </w:r>
            <w:r w:rsidRPr="00F2525A">
              <w:t>his unit of competency.</w:t>
            </w:r>
          </w:p>
        </w:tc>
      </w:tr>
      <w:tr w:rsidTr="003133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t xml:space="preserve">Assessment will require access to an operating plant over an extended period of time, or a suitable method of gathering evidence of operating ability over a range of situations. </w:t>
            </w:r>
          </w:p>
          <w:p w:rsidR="00000000" w:rsidRPr="00F2525A" w:rsidP="00F2525A">
            <w:pPr>
              <w:pStyle w:val="BodyText"/>
            </w:pPr>
            <w:r w:rsidRPr="00F2525A">
              <w:t>Ass</w:t>
            </w:r>
            <w:r w:rsidRPr="00F2525A">
              <w:t>essment will occur over a range of situations which will include disruptions to normal, smooth operation.</w:t>
            </w:r>
          </w:p>
          <w:p w:rsidR="00000000" w:rsidP="00F2525A">
            <w:pPr>
              <w:pStyle w:val="BodyText"/>
              <w:rPr>
                <w:lang w:val="en-NZ"/>
              </w:rPr>
            </w:pPr>
            <w:r w:rsidRPr="00F2525A">
              <w:t>Simulation or case studies/scenarios may be required to allow for timely assessment of parts of this unit of competency. Simulation should be based on</w:t>
            </w:r>
            <w:r w:rsidRPr="00F2525A">
              <w:t xml:space="preserve"> the actual plant and will include 'walk-throughs' of the relevant competency components. A bank of scenarios/case studies/what ifs and questions will be required to probe the reasoning behind observable actions.</w:t>
            </w:r>
          </w:p>
        </w:tc>
      </w:tr>
      <w:tr w:rsidTr="003133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t>Individual enterprise</w:t>
            </w:r>
            <w:r w:rsidRPr="00F2525A">
              <w:t>s may choose to add prerequisites and co-requisites relevant to their processes.</w:t>
            </w:r>
          </w:p>
        </w:tc>
      </w:tr>
      <w:tr w:rsidTr="003133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t>Assessment processes and techniques must be culturally appropriate and appropriate to the language and literacy capacity of the candidate and the work being performed.</w:t>
            </w:r>
          </w:p>
        </w:tc>
      </w:tr>
    </w:tbl>
    <w:p w:rsidR="00000000" w:rsidRPr="00F2525A" w:rsidP="00F2525A">
      <w:pPr>
        <w:pStyle w:val="BodyText"/>
      </w:pPr>
    </w:p>
    <w:p w:rsidR="00000000" w:rsidRPr="00F2525A" w:rsidP="00F2525A">
      <w:pPr>
        <w:pStyle w:val="AllowPageBreak"/>
      </w:pPr>
    </w:p>
    <w:p w:rsidR="00000000" w:rsidRPr="00F2525A" w:rsidP="00F2525A">
      <w:pPr>
        <w:pStyle w:val="Heading1"/>
      </w:pPr>
      <w:bookmarkStart w:id="11" w:name="O_109981"/>
      <w:bookmarkEnd w:id="11"/>
      <w:r w:rsidRPr="00F2525A">
        <w:t>Range Statement</w:t>
      </w:r>
    </w:p>
    <w:tbl>
      <w:tblPr>
        <w:tblW w:w="0" w:type="auto"/>
        <w:tblLayout w:type="fixed"/>
        <w:tblCellMar>
          <w:left w:w="62" w:type="dxa"/>
          <w:right w:w="62" w:type="dxa"/>
        </w:tblCellMar>
        <w:tblLook w:val="0000"/>
      </w:tblPr>
      <w:tblGrid>
        <w:gridCol w:w="3516"/>
        <w:gridCol w:w="5006"/>
      </w:tblGrid>
      <w:tr w:rsidTr="003133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RANGE STATEMENT</w:t>
            </w:r>
          </w:p>
        </w:tc>
      </w:tr>
      <w:tr w:rsidTr="003133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t xml:space="preserve">The range statement relates to the </w:t>
            </w:r>
            <w:r w:rsidRPr="00F2525A">
              <w:t>unit of competency as a whole. It allows for different work environments and situations that may affect performance. Bold italicised wording, if used in the performance criteria, is detailed below. Essential operating conditions that may be present with tr</w:t>
            </w:r>
            <w:r w:rsidRPr="00F2525A">
              <w:t>aining and assessment (depending on the work situation, needs of the candidate, accessibility of the item, and local industry and regional contexts) may also be included.</w:t>
            </w:r>
          </w:p>
        </w:tc>
      </w:tr>
      <w:tr w:rsidTr="003133A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Procedures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t xml:space="preserve">All operations are performed in accordance with </w:t>
            </w:r>
            <w:r w:rsidRPr="00F2525A">
              <w:t>standard procedures and work instructions.</w:t>
            </w:r>
          </w:p>
        </w:tc>
      </w:tr>
      <w:tr w:rsidTr="003133A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Ground materials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t>Ground materials may include:</w:t>
            </w:r>
          </w:p>
          <w:p w:rsidR="00000000" w:rsidRPr="00F2525A" w:rsidP="00F2525A">
            <w:pPr>
              <w:pStyle w:val="ListBullet"/>
            </w:pPr>
            <w:r w:rsidRPr="00F2525A">
              <w:t>quarried materials</w:t>
            </w:r>
          </w:p>
          <w:p w:rsidR="00000000" w:rsidRPr="00F2525A" w:rsidP="00F2525A">
            <w:pPr>
              <w:pStyle w:val="ListBullet"/>
            </w:pPr>
            <w:r w:rsidRPr="00F2525A">
              <w:t>cement clinker</w:t>
            </w:r>
          </w:p>
          <w:p w:rsidR="00000000" w:rsidRPr="00F2525A" w:rsidP="00F2525A">
            <w:pPr>
              <w:pStyle w:val="ListBullet"/>
            </w:pPr>
            <w:r w:rsidRPr="00F2525A">
              <w:t xml:space="preserve">lime </w:t>
            </w:r>
          </w:p>
          <w:p w:rsidR="00000000" w:rsidRPr="00F2525A" w:rsidP="00F2525A">
            <w:pPr>
              <w:pStyle w:val="ListBullet"/>
            </w:pPr>
            <w:r w:rsidRPr="00F2525A">
              <w:t>ceramics and clay</w:t>
            </w:r>
          </w:p>
          <w:p w:rsidR="00000000" w:rsidRPr="00F2525A" w:rsidP="00F2525A">
            <w:pPr>
              <w:pStyle w:val="ListBullet"/>
            </w:pPr>
            <w:r w:rsidRPr="00F2525A">
              <w:t xml:space="preserve">ground minerals </w:t>
            </w:r>
          </w:p>
          <w:p w:rsidR="00000000" w:rsidRPr="00F2525A" w:rsidP="00F2525A">
            <w:pPr>
              <w:pStyle w:val="ListBullet"/>
            </w:pPr>
            <w:r w:rsidRPr="00F2525A">
              <w:t>glass</w:t>
            </w:r>
          </w:p>
          <w:p w:rsidR="00000000" w:rsidRPr="00F2525A" w:rsidP="00F2525A">
            <w:pPr>
              <w:pStyle w:val="ListBullet"/>
            </w:pPr>
            <w:r w:rsidRPr="00F2525A">
              <w:t>concrete waste</w:t>
            </w:r>
          </w:p>
          <w:p w:rsidR="00000000" w:rsidP="00F2525A">
            <w:pPr>
              <w:pStyle w:val="ListBullet"/>
              <w:rPr>
                <w:lang w:val="en-NZ"/>
              </w:rPr>
            </w:pPr>
            <w:r w:rsidRPr="00F2525A">
              <w:t>fibre cement</w:t>
            </w:r>
          </w:p>
        </w:tc>
      </w:tr>
      <w:tr w:rsidTr="003133A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Equipment and unit operations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t xml:space="preserve">All </w:t>
            </w:r>
            <w:r w:rsidRPr="00F2525A">
              <w:t>such items of equipment and unit operations which form part of the grinding system. These may include:</w:t>
            </w:r>
          </w:p>
          <w:p w:rsidR="00000000" w:rsidRPr="00F2525A" w:rsidP="00F2525A">
            <w:pPr>
              <w:pStyle w:val="ListBullet"/>
            </w:pPr>
            <w:r w:rsidRPr="00F2525A">
              <w:t xml:space="preserve">ball mills </w:t>
            </w:r>
          </w:p>
          <w:p w:rsidR="00000000" w:rsidRPr="00F2525A" w:rsidP="00F2525A">
            <w:pPr>
              <w:pStyle w:val="ListBullet"/>
            </w:pPr>
            <w:r w:rsidRPr="00F2525A">
              <w:t>hammer mills</w:t>
            </w:r>
          </w:p>
          <w:p w:rsidR="00000000" w:rsidRPr="00F2525A" w:rsidP="00F2525A">
            <w:pPr>
              <w:pStyle w:val="ListBullet"/>
            </w:pPr>
            <w:r w:rsidRPr="00F2525A">
              <w:t>roller mills</w:t>
            </w:r>
          </w:p>
          <w:p w:rsidR="00000000" w:rsidRPr="00F2525A" w:rsidP="00F2525A">
            <w:pPr>
              <w:pStyle w:val="ListBullet"/>
            </w:pPr>
            <w:r w:rsidRPr="00F2525A">
              <w:t>pans</w:t>
            </w:r>
          </w:p>
          <w:p w:rsidR="00000000" w:rsidRPr="00F2525A" w:rsidP="00F2525A">
            <w:pPr>
              <w:pStyle w:val="ListBullet"/>
            </w:pPr>
            <w:r w:rsidRPr="00F2525A">
              <w:t>edge mills</w:t>
            </w:r>
          </w:p>
          <w:p w:rsidR="00000000" w:rsidP="00F2525A">
            <w:pPr>
              <w:pStyle w:val="ListBullet"/>
              <w:rPr>
                <w:lang w:val="en-NZ"/>
              </w:rPr>
            </w:pPr>
            <w:r w:rsidRPr="00F2525A">
              <w:t>other equipment integral to the operation of the grinding system</w:t>
            </w:r>
          </w:p>
        </w:tc>
      </w:tr>
      <w:tr w:rsidTr="003133A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Typical problems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t>Typical problems may include:</w:t>
            </w:r>
          </w:p>
          <w:p w:rsidR="00000000" w:rsidRPr="00F2525A" w:rsidP="00F2525A">
            <w:pPr>
              <w:pStyle w:val="ListBullet"/>
            </w:pPr>
            <w:r w:rsidRPr="00F2525A">
              <w:t>out of specification grinding media</w:t>
            </w:r>
          </w:p>
          <w:p w:rsidR="00000000" w:rsidRPr="00F2525A" w:rsidP="00F2525A">
            <w:pPr>
              <w:pStyle w:val="ListBullet"/>
            </w:pPr>
            <w:r w:rsidRPr="00F2525A">
              <w:t>variations in temperature and moisture</w:t>
            </w:r>
          </w:p>
          <w:p w:rsidR="00000000" w:rsidRPr="00F2525A" w:rsidP="00F2525A">
            <w:pPr>
              <w:pStyle w:val="ListBullet"/>
            </w:pPr>
            <w:r w:rsidRPr="00F2525A">
              <w:t>variations in feed</w:t>
            </w:r>
          </w:p>
          <w:p w:rsidR="00000000" w:rsidP="00F2525A">
            <w:pPr>
              <w:pStyle w:val="ListBullet"/>
              <w:rPr>
                <w:lang w:val="en-NZ"/>
              </w:rPr>
            </w:pPr>
            <w:r w:rsidRPr="00F2525A">
              <w:t>product discharge problems</w:t>
            </w:r>
          </w:p>
        </w:tc>
      </w:tr>
      <w:tr w:rsidTr="003133A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OHS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t>The identification and control of hazards and the application of OHS is to be in accordance with cu</w:t>
            </w:r>
            <w:r w:rsidRPr="00F2525A">
              <w:t>rrent, applicable legislation and regulations, and company procedures. All work is carried out at all times in accordance with these requirements</w:t>
            </w:r>
          </w:p>
        </w:tc>
      </w:tr>
    </w:tbl>
    <w:p w:rsidR="003133AA" w:rsidP="00F2525A">
      <w:pPr>
        <w:pStyle w:val="BodyText"/>
      </w:pPr>
    </w:p>
    <w:p w:rsidR="003133AA" w:rsidP="00F2525A">
      <w:pPr>
        <w:pStyle w:val="BodyText"/>
      </w:pPr>
    </w:p>
    <w:p w:rsidR="00000000" w:rsidRPr="00F2525A" w:rsidP="00F2525A">
      <w:pPr>
        <w:pStyle w:val="Heading1"/>
      </w:pPr>
      <w:bookmarkStart w:id="12" w:name="O_109982"/>
      <w:bookmarkEnd w:id="12"/>
      <w:r w:rsidRPr="00F2525A">
        <w:t>Unit Sector(s)</w:t>
      </w:r>
    </w:p>
    <w:tbl>
      <w:tblPr>
        <w:tblW w:w="0" w:type="auto"/>
        <w:tblLayout w:type="fixed"/>
        <w:tblCellMar>
          <w:left w:w="62" w:type="dxa"/>
          <w:right w:w="62" w:type="dxa"/>
        </w:tblCellMar>
        <w:tblLook w:val="0000"/>
      </w:tblPr>
      <w:tblGrid>
        <w:gridCol w:w="2567"/>
        <w:gridCol w:w="5955"/>
      </w:tblGrid>
      <w:tr w:rsidTr="003133AA">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r w:rsidRPr="00F2525A">
              <w:t>Operational/technical</w:t>
            </w:r>
          </w:p>
        </w:tc>
      </w:tr>
    </w:tbl>
    <w:p w:rsidR="00000000" w:rsidRPr="00F2525A" w:rsidP="00F2525A">
      <w:pPr>
        <w:pStyle w:val="BodyText"/>
      </w:pPr>
    </w:p>
    <w:p w:rsidR="00000000" w:rsidRPr="00F2525A" w:rsidP="00F2525A">
      <w:pPr>
        <w:pStyle w:val="AllowPageBreak"/>
      </w:pPr>
    </w:p>
    <w:p w:rsidR="00000000" w:rsidRPr="00F2525A" w:rsidP="00F2525A">
      <w:pPr>
        <w:pStyle w:val="Heading1"/>
      </w:pPr>
      <w:bookmarkStart w:id="13" w:name="O_160097"/>
      <w:bookmarkEnd w:id="13"/>
      <w:r w:rsidRPr="00F2525A">
        <w:t>Competency field</w:t>
      </w:r>
    </w:p>
    <w:tbl>
      <w:tblPr>
        <w:tblW w:w="0" w:type="auto"/>
        <w:tblLayout w:type="fixed"/>
        <w:tblCellMar>
          <w:left w:w="62" w:type="dxa"/>
          <w:right w:w="62" w:type="dxa"/>
        </w:tblCellMar>
        <w:tblLook w:val="0000"/>
      </w:tblPr>
      <w:tblGrid>
        <w:gridCol w:w="2784"/>
        <w:gridCol w:w="5738"/>
      </w:tblGrid>
      <w:tr w:rsidTr="003133A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p>
        </w:tc>
      </w:tr>
    </w:tbl>
    <w:p w:rsidR="00000000" w:rsidRPr="00F2525A" w:rsidP="00F2525A">
      <w:pPr>
        <w:pStyle w:val="BodyText"/>
      </w:pPr>
    </w:p>
    <w:p w:rsidR="00000000" w:rsidRPr="00F2525A" w:rsidP="00F2525A">
      <w:pPr>
        <w:pStyle w:val="AllowPageBreak"/>
      </w:pPr>
    </w:p>
    <w:p w:rsidR="00000000" w:rsidRPr="00F2525A" w:rsidP="00F2525A">
      <w:pPr>
        <w:pStyle w:val="Heading1"/>
      </w:pPr>
      <w:bookmarkStart w:id="14" w:name="O_160096"/>
      <w:bookmarkEnd w:id="14"/>
      <w:r w:rsidRPr="00F2525A">
        <w:t>Co-requisite units</w:t>
      </w:r>
    </w:p>
    <w:tbl>
      <w:tblPr>
        <w:tblW w:w="0" w:type="auto"/>
        <w:tblLayout w:type="fixed"/>
        <w:tblCellMar>
          <w:left w:w="62" w:type="dxa"/>
          <w:right w:w="62" w:type="dxa"/>
        </w:tblCellMar>
        <w:tblLook w:val="0000"/>
      </w:tblPr>
      <w:tblGrid>
        <w:gridCol w:w="2641"/>
        <w:gridCol w:w="1322"/>
        <w:gridCol w:w="4559"/>
      </w:tblGrid>
      <w:tr w:rsidTr="003133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r w:rsidRPr="00F2525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p>
        </w:tc>
      </w:tr>
      <w:tr w:rsidTr="003133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25A">
            <w:pPr>
              <w:pStyle w:val="BodyText"/>
              <w:rPr>
                <w:lang w:val="en-NZ"/>
              </w:rPr>
            </w:pPr>
          </w:p>
        </w:tc>
      </w:tr>
      <w:tr w:rsidTr="003133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25A" w:rsidP="00F2525A">
            <w:pPr>
              <w:pStyle w:val="BodyText"/>
            </w:pPr>
          </w:p>
        </w:tc>
      </w:tr>
    </w:tbl>
    <w:p w:rsidR="00000000" w:rsidRPr="00F2525A" w:rsidP="00F2525A">
      <w:pPr>
        <w:pStyle w:val="BodyText"/>
      </w:pPr>
    </w:p>
    <w:p w:rsidR="00000000" w:rsidRPr="00F2525A" w:rsidP="00F2525A"/>
    <w:sectPr w:rsidSect="00F252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3AA" w:rsidP="00313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3AA" w:rsidP="00F252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133AA" w:rsidP="00F252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133AA" w:rsidP="00F252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3AA" w:rsidP="003133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3AA" w:rsidP="00F2525A">
    <w:pPr>
      <w:pStyle w:val="Header"/>
      <w:framePr w:wrap="around"/>
    </w:pPr>
    <w:r>
      <w:fldChar w:fldCharType="begin"/>
    </w:r>
    <w:r>
      <w:instrText xml:space="preserve"> TITLE   \* MERGEFORMAT </w:instrText>
    </w:r>
    <w:r>
      <w:fldChar w:fldCharType="separate"/>
    </w:r>
    <w:r>
      <w:t>PMC552003C Operate grinding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33AA" w:rsidP="00F252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86C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D2E9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ECD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2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525A"/>
    <w:pPr>
      <w:spacing w:before="360" w:after="60"/>
      <w:outlineLvl w:val="0"/>
    </w:pPr>
    <w:rPr>
      <w:sz w:val="32"/>
    </w:rPr>
  </w:style>
  <w:style w:type="paragraph" w:styleId="Heading2">
    <w:name w:val="heading 2"/>
    <w:basedOn w:val="HeadingBase"/>
    <w:next w:val="BodyText"/>
    <w:link w:val="Heading2Char"/>
    <w:qFormat/>
    <w:rsid w:val="00F2525A"/>
    <w:pPr>
      <w:keepLines/>
      <w:spacing w:before="240" w:after="120"/>
      <w:outlineLvl w:val="1"/>
    </w:pPr>
    <w:rPr>
      <w:sz w:val="28"/>
      <w:szCs w:val="40"/>
    </w:rPr>
  </w:style>
  <w:style w:type="paragraph" w:styleId="Heading3">
    <w:name w:val="heading 3"/>
    <w:basedOn w:val="HeadingBase"/>
    <w:next w:val="BodyText"/>
    <w:link w:val="Heading3Char"/>
    <w:qFormat/>
    <w:rsid w:val="00F2525A"/>
    <w:pPr>
      <w:spacing w:before="180" w:after="120"/>
      <w:outlineLvl w:val="2"/>
    </w:pPr>
    <w:rPr>
      <w:spacing w:val="-10"/>
      <w:kern w:val="32"/>
    </w:rPr>
  </w:style>
  <w:style w:type="paragraph" w:styleId="Heading4">
    <w:name w:val="heading 4"/>
    <w:basedOn w:val="HeadingBase"/>
    <w:next w:val="BodyText"/>
    <w:link w:val="Heading4Char"/>
    <w:qFormat/>
    <w:rsid w:val="00F2525A"/>
    <w:pPr>
      <w:spacing w:before="160" w:after="120"/>
      <w:outlineLvl w:val="3"/>
    </w:pPr>
    <w:rPr>
      <w:sz w:val="22"/>
    </w:rPr>
  </w:style>
  <w:style w:type="paragraph" w:styleId="Heading5">
    <w:name w:val="heading 5"/>
    <w:basedOn w:val="HeadingBase"/>
    <w:next w:val="Normal"/>
    <w:link w:val="Heading5Char"/>
    <w:qFormat/>
    <w:rsid w:val="00F2525A"/>
    <w:pPr>
      <w:spacing w:before="80"/>
      <w:outlineLvl w:val="4"/>
    </w:pPr>
    <w:rPr>
      <w:color w:val="918585"/>
      <w:sz w:val="20"/>
    </w:rPr>
  </w:style>
  <w:style w:type="paragraph" w:styleId="Heading6">
    <w:name w:val="heading 6"/>
    <w:basedOn w:val="HeadingBase"/>
    <w:next w:val="Normal"/>
    <w:link w:val="Heading6Char"/>
    <w:qFormat/>
    <w:rsid w:val="00F2525A"/>
    <w:pPr>
      <w:spacing w:before="60"/>
      <w:outlineLvl w:val="5"/>
    </w:pPr>
    <w:rPr>
      <w:color w:val="918585"/>
      <w:sz w:val="20"/>
    </w:rPr>
  </w:style>
  <w:style w:type="paragraph" w:styleId="Heading7">
    <w:name w:val="heading 7"/>
    <w:basedOn w:val="Normal"/>
    <w:next w:val="Normal"/>
    <w:link w:val="Heading7Char"/>
    <w:qFormat/>
    <w:rsid w:val="00F2525A"/>
    <w:pPr>
      <w:ind w:left="720"/>
      <w:outlineLvl w:val="6"/>
    </w:pPr>
    <w:rPr>
      <w:i/>
    </w:rPr>
  </w:style>
  <w:style w:type="paragraph" w:styleId="Heading8">
    <w:name w:val="heading 8"/>
    <w:basedOn w:val="Normal"/>
    <w:next w:val="Normal"/>
    <w:link w:val="Heading8Char"/>
    <w:qFormat/>
    <w:rsid w:val="00F2525A"/>
    <w:pPr>
      <w:ind w:left="720"/>
      <w:outlineLvl w:val="7"/>
    </w:pPr>
    <w:rPr>
      <w:i/>
    </w:rPr>
  </w:style>
  <w:style w:type="paragraph" w:styleId="Heading9">
    <w:name w:val="heading 9"/>
    <w:basedOn w:val="Normal"/>
    <w:next w:val="Normal"/>
    <w:link w:val="Heading9Char"/>
    <w:qFormat/>
    <w:rsid w:val="00F2525A"/>
    <w:pPr>
      <w:ind w:left="720"/>
      <w:outlineLvl w:val="8"/>
    </w:pPr>
    <w:rPr>
      <w:i/>
    </w:rPr>
  </w:style>
  <w:style w:type="character" w:default="1" w:styleId="DefaultParagraphFont">
    <w:name w:val="Default Paragraph Font"/>
    <w:uiPriority w:val="1"/>
    <w:unhideWhenUsed/>
    <w:rsid w:val="00F25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25A"/>
  </w:style>
  <w:style w:type="character" w:customStyle="1" w:styleId="Heading1Char">
    <w:name w:val="Heading 1 Char"/>
    <w:basedOn w:val="DefaultParagraphFont"/>
    <w:link w:val="Heading1"/>
    <w:rsid w:val="00F2525A"/>
    <w:rPr>
      <w:rFonts w:ascii="Times New Roman" w:eastAsia="Times New Roman" w:hAnsi="Times New Roman" w:cs="Times New Roman"/>
      <w:b/>
      <w:sz w:val="32"/>
      <w:szCs w:val="20"/>
      <w:lang w:eastAsia="en-US"/>
    </w:rPr>
  </w:style>
  <w:style w:type="paragraph" w:styleId="BodyText">
    <w:name w:val="Body Text"/>
    <w:basedOn w:val="Normal"/>
    <w:link w:val="BodyTextChar"/>
    <w:rsid w:val="00F252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525A"/>
    <w:rPr>
      <w:rFonts w:ascii="Times New Roman" w:eastAsia="Times New Roman" w:hAnsi="Times New Roman" w:cs="Times New Roman"/>
      <w:sz w:val="24"/>
      <w:lang w:val="en-US" w:eastAsia="en-US"/>
    </w:rPr>
  </w:style>
  <w:style w:type="paragraph" w:styleId="Footer">
    <w:name w:val="footer"/>
    <w:basedOn w:val="Normal"/>
    <w:link w:val="FooterChar"/>
    <w:rsid w:val="00F25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25A"/>
    <w:rPr>
      <w:rFonts w:ascii="Times New Roman" w:eastAsia="Times New Roman" w:hAnsi="Times New Roman" w:cs="Times New Roman"/>
      <w:sz w:val="16"/>
      <w:lang w:val="en-US" w:eastAsia="en-US"/>
    </w:rPr>
  </w:style>
  <w:style w:type="paragraph" w:styleId="List">
    <w:name w:val="List"/>
    <w:basedOn w:val="BodyText"/>
    <w:next w:val="BodyText"/>
    <w:rsid w:val="00F2525A"/>
    <w:pPr>
      <w:tabs>
        <w:tab w:val="left" w:pos="340"/>
      </w:tabs>
      <w:spacing w:before="60" w:after="60"/>
      <w:ind w:left="340" w:hanging="340"/>
    </w:pPr>
  </w:style>
  <w:style w:type="paragraph" w:styleId="ListBullet">
    <w:name w:val="List Bullet"/>
    <w:basedOn w:val="List"/>
    <w:rsid w:val="00F2525A"/>
    <w:pPr>
      <w:numPr>
        <w:numId w:val="13"/>
      </w:numPr>
      <w:tabs>
        <w:tab w:val="clear" w:pos="340"/>
      </w:tabs>
      <w:spacing w:before="40" w:after="40"/>
    </w:pPr>
  </w:style>
  <w:style w:type="character" w:customStyle="1" w:styleId="SpecialBold">
    <w:name w:val="Special Bold"/>
    <w:basedOn w:val="DefaultParagraphFont"/>
    <w:rsid w:val="00F2525A"/>
    <w:rPr>
      <w:b/>
      <w:spacing w:val="0"/>
    </w:rPr>
  </w:style>
  <w:style w:type="paragraph" w:styleId="ListBullet2">
    <w:name w:val="List Bullet 2"/>
    <w:basedOn w:val="List2"/>
    <w:rsid w:val="00F2525A"/>
    <w:pPr>
      <w:numPr>
        <w:numId w:val="14"/>
      </w:numPr>
      <w:tabs>
        <w:tab w:val="clear" w:pos="680"/>
      </w:tabs>
    </w:pPr>
  </w:style>
  <w:style w:type="paragraph" w:styleId="Header">
    <w:name w:val="header"/>
    <w:basedOn w:val="Normal"/>
    <w:link w:val="HeaderChar"/>
    <w:rsid w:val="00F25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2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525A"/>
    <w:pPr>
      <w:spacing w:before="240" w:after="120"/>
      <w:outlineLvl w:val="0"/>
    </w:pPr>
    <w:rPr>
      <w:rFonts w:ascii="Times New Roman" w:hAnsi="Times New Roman"/>
      <w:b/>
      <w:sz w:val="28"/>
    </w:rPr>
  </w:style>
  <w:style w:type="paragraph" w:customStyle="1" w:styleId="AllowPageBreak">
    <w:name w:val="AllowPageBreak"/>
    <w:rsid w:val="00F252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525A"/>
    <w:pPr>
      <w:tabs>
        <w:tab w:val="left" w:pos="680"/>
      </w:tabs>
      <w:spacing w:before="60" w:after="60"/>
      <w:ind w:left="680" w:hanging="340"/>
    </w:pPr>
  </w:style>
  <w:style w:type="character" w:customStyle="1" w:styleId="Heading2Char">
    <w:name w:val="Heading 2 Char"/>
    <w:basedOn w:val="DefaultParagraphFont"/>
    <w:link w:val="Heading2"/>
    <w:rsid w:val="00F25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2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52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525A"/>
    <w:rPr>
      <w:rFonts w:ascii="Courier New" w:eastAsia="Times New Roman" w:hAnsi="Courier New" w:cs="Times New Roman"/>
      <w:i/>
      <w:szCs w:val="20"/>
      <w:lang w:val="en-US" w:eastAsia="en-US"/>
    </w:rPr>
  </w:style>
  <w:style w:type="paragraph" w:customStyle="1" w:styleId="HeadingBase">
    <w:name w:val="Heading Base"/>
    <w:rsid w:val="00F25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25A"/>
    <w:pPr>
      <w:tabs>
        <w:tab w:val="right" w:leader="dot" w:pos="9072"/>
      </w:tabs>
      <w:ind w:left="567"/>
    </w:pPr>
    <w:rPr>
      <w:szCs w:val="22"/>
    </w:rPr>
  </w:style>
  <w:style w:type="paragraph" w:customStyle="1" w:styleId="TOCBase">
    <w:name w:val="TOC Base"/>
    <w:rsid w:val="00F25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25A"/>
    <w:pPr>
      <w:tabs>
        <w:tab w:val="right" w:leader="dot" w:pos="9072"/>
      </w:tabs>
      <w:spacing w:before="40" w:after="40"/>
      <w:ind w:left="284"/>
    </w:pPr>
    <w:rPr>
      <w:rFonts w:ascii="Times New Roman" w:hAnsi="Times New Roman"/>
    </w:rPr>
  </w:style>
  <w:style w:type="paragraph" w:styleId="TOC1">
    <w:name w:val="toc 1"/>
    <w:basedOn w:val="TOCBase"/>
    <w:next w:val="Normal"/>
    <w:rsid w:val="00F252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525A"/>
    <w:pPr>
      <w:spacing w:before="5040"/>
      <w:jc w:val="center"/>
    </w:pPr>
    <w:rPr>
      <w:sz w:val="48"/>
      <w:szCs w:val="72"/>
      <w:lang w:val="en-US"/>
    </w:rPr>
  </w:style>
  <w:style w:type="character" w:customStyle="1" w:styleId="TitleChar">
    <w:name w:val="Title Char"/>
    <w:basedOn w:val="DefaultParagraphFont"/>
    <w:link w:val="Title"/>
    <w:rsid w:val="00F25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25A"/>
    <w:pPr>
      <w:tabs>
        <w:tab w:val="left" w:pos="3600"/>
        <w:tab w:val="left" w:pos="3958"/>
      </w:tabs>
    </w:pPr>
  </w:style>
  <w:style w:type="paragraph" w:customStyle="1" w:styleId="Note">
    <w:name w:val="Note"/>
    <w:basedOn w:val="BodyText"/>
    <w:rsid w:val="00F252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25A"/>
    <w:pPr>
      <w:framePr w:wrap="auto" w:hAnchor="text" w:y="6049"/>
    </w:pPr>
    <w:rPr>
      <w:color w:val="000000"/>
      <w:sz w:val="40"/>
    </w:rPr>
  </w:style>
  <w:style w:type="paragraph" w:customStyle="1" w:styleId="TOCTitle">
    <w:name w:val="TOCTitle"/>
    <w:basedOn w:val="Heading1"/>
    <w:rsid w:val="00F2525A"/>
    <w:pPr>
      <w:spacing w:after="240"/>
      <w:jc w:val="center"/>
      <w:outlineLvl w:val="9"/>
    </w:pPr>
    <w:rPr>
      <w:caps/>
    </w:rPr>
  </w:style>
  <w:style w:type="paragraph" w:customStyle="1" w:styleId="Version">
    <w:name w:val="Version"/>
    <w:rsid w:val="00F252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25A"/>
    <w:pPr>
      <w:keepNext w:val="0"/>
      <w:tabs>
        <w:tab w:val="right" w:pos="4176"/>
      </w:tabs>
      <w:ind w:left="198" w:hanging="198"/>
    </w:pPr>
    <w:rPr>
      <w:rFonts w:ascii="Garamond" w:hAnsi="Garamond"/>
    </w:rPr>
  </w:style>
  <w:style w:type="paragraph" w:styleId="IndexHeading">
    <w:name w:val="index heading"/>
    <w:basedOn w:val="Normal"/>
    <w:next w:val="Index1"/>
    <w:semiHidden/>
    <w:rsid w:val="00F2525A"/>
    <w:pPr>
      <w:spacing w:before="120" w:after="120"/>
    </w:pPr>
    <w:rPr>
      <w:rFonts w:ascii="Arial" w:hAnsi="Arial"/>
      <w:b/>
      <w:color w:val="918585"/>
      <w:sz w:val="24"/>
    </w:rPr>
  </w:style>
  <w:style w:type="paragraph" w:customStyle="1" w:styleId="Chapter">
    <w:name w:val="Chapter"/>
    <w:basedOn w:val="Normal"/>
    <w:rsid w:val="00F2525A"/>
    <w:pPr>
      <w:spacing w:before="240"/>
    </w:pPr>
    <w:rPr>
      <w:rFonts w:ascii="Times New Roman" w:hAnsi="Times New Roman"/>
      <w:smallCaps/>
      <w:spacing w:val="80"/>
      <w:sz w:val="28"/>
    </w:rPr>
  </w:style>
  <w:style w:type="paragraph" w:customStyle="1" w:styleId="InChapter">
    <w:name w:val="InChapter"/>
    <w:basedOn w:val="Heading3"/>
    <w:rsid w:val="00F2525A"/>
    <w:pPr>
      <w:spacing w:after="240"/>
      <w:outlineLvl w:val="9"/>
    </w:pPr>
    <w:rPr>
      <w:noProof/>
    </w:rPr>
  </w:style>
  <w:style w:type="paragraph" w:styleId="Index2">
    <w:name w:val="index 2"/>
    <w:basedOn w:val="Normal"/>
    <w:next w:val="Normal"/>
    <w:semiHidden/>
    <w:rsid w:val="00F2525A"/>
    <w:pPr>
      <w:tabs>
        <w:tab w:val="right" w:pos="4176"/>
      </w:tabs>
      <w:ind w:left="568" w:hanging="284"/>
    </w:pPr>
    <w:rPr>
      <w:rFonts w:ascii="Garamond" w:hAnsi="Garamond"/>
    </w:rPr>
  </w:style>
  <w:style w:type="paragraph" w:customStyle="1" w:styleId="Byline">
    <w:name w:val="Byline"/>
    <w:rsid w:val="00F25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25A"/>
    <w:pPr>
      <w:tabs>
        <w:tab w:val="clear" w:pos="3600"/>
        <w:tab w:val="clear" w:pos="3958"/>
      </w:tabs>
      <w:jc w:val="right"/>
    </w:pPr>
  </w:style>
  <w:style w:type="character" w:styleId="Emphasis">
    <w:name w:val="Emphasis"/>
    <w:basedOn w:val="DefaultParagraphFont"/>
    <w:qFormat/>
    <w:rsid w:val="00F2525A"/>
    <w:rPr>
      <w:i/>
    </w:rPr>
  </w:style>
  <w:style w:type="paragraph" w:styleId="Caption">
    <w:name w:val="caption"/>
    <w:basedOn w:val="BodyText"/>
    <w:next w:val="Normal"/>
    <w:qFormat/>
    <w:rsid w:val="00F2525A"/>
    <w:pPr>
      <w:framePr w:w="2268" w:hSpace="181" w:vSpace="181" w:wrap="around" w:vAnchor="text" w:hAnchor="page" w:x="1135" w:y="285" w:anchorLock="1"/>
    </w:pPr>
    <w:rPr>
      <w:i/>
    </w:rPr>
  </w:style>
  <w:style w:type="paragraph" w:customStyle="1" w:styleId="MiniTOCTitle">
    <w:name w:val="MiniTOCTitle"/>
    <w:basedOn w:val="Heading4"/>
    <w:rsid w:val="00F2525A"/>
    <w:pPr>
      <w:spacing w:before="240"/>
      <w:outlineLvl w:val="9"/>
    </w:pPr>
    <w:rPr>
      <w:noProof/>
      <w:sz w:val="24"/>
    </w:rPr>
  </w:style>
  <w:style w:type="paragraph" w:customStyle="1" w:styleId="MiniTOCItem">
    <w:name w:val="MiniTOCItem"/>
    <w:basedOn w:val="ListBullet"/>
    <w:rsid w:val="00F2525A"/>
    <w:pPr>
      <w:numPr>
        <w:numId w:val="0"/>
      </w:numPr>
      <w:tabs>
        <w:tab w:val="right" w:leader="dot" w:pos="6521"/>
      </w:tabs>
      <w:spacing w:before="0" w:after="0"/>
    </w:pPr>
  </w:style>
  <w:style w:type="paragraph" w:customStyle="1" w:styleId="TOFTitle">
    <w:name w:val="TOFTitle"/>
    <w:basedOn w:val="TOCTitle"/>
    <w:rsid w:val="00F2525A"/>
  </w:style>
  <w:style w:type="paragraph" w:styleId="TableofFigures">
    <w:name w:val="table of figures"/>
    <w:basedOn w:val="Normal"/>
    <w:next w:val="Normal"/>
    <w:semiHidden/>
    <w:rsid w:val="00F2525A"/>
    <w:pPr>
      <w:tabs>
        <w:tab w:val="right" w:leader="dot" w:pos="9072"/>
      </w:tabs>
      <w:ind w:left="970" w:hanging="403"/>
    </w:pPr>
    <w:rPr>
      <w:rFonts w:ascii="Times New Roman" w:hAnsi="Times New Roman"/>
      <w:b/>
    </w:rPr>
  </w:style>
  <w:style w:type="paragraph" w:styleId="ListNumber">
    <w:name w:val="List Number"/>
    <w:basedOn w:val="List"/>
    <w:rsid w:val="00F2525A"/>
    <w:pPr>
      <w:numPr>
        <w:numId w:val="11"/>
      </w:numPr>
    </w:pPr>
  </w:style>
  <w:style w:type="character" w:customStyle="1" w:styleId="WingdingSymbols">
    <w:name w:val="Wingding Symbols"/>
    <w:rsid w:val="00F2525A"/>
    <w:rPr>
      <w:rFonts w:ascii="Wingdings" w:hAnsi="Wingdings"/>
    </w:rPr>
  </w:style>
  <w:style w:type="paragraph" w:customStyle="1" w:styleId="TableHeading">
    <w:name w:val="Table Heading"/>
    <w:basedOn w:val="HeadingBase"/>
    <w:rsid w:val="00F2525A"/>
    <w:pPr>
      <w:keepLines/>
      <w:pBdr>
        <w:bottom w:val="single" w:sz="6" w:space="1" w:color="918585"/>
      </w:pBdr>
      <w:spacing w:before="240"/>
    </w:pPr>
  </w:style>
  <w:style w:type="character" w:customStyle="1" w:styleId="HotSpot">
    <w:name w:val="HotSpot"/>
    <w:rsid w:val="00F2525A"/>
    <w:rPr>
      <w:color w:val="0033CC"/>
      <w:u w:val="none"/>
    </w:rPr>
  </w:style>
  <w:style w:type="paragraph" w:customStyle="1" w:styleId="BodyTextRight">
    <w:name w:val="Body Text Right"/>
    <w:basedOn w:val="BodyText"/>
    <w:rsid w:val="00F2525A"/>
    <w:pPr>
      <w:spacing w:before="0" w:after="0"/>
      <w:jc w:val="right"/>
    </w:pPr>
  </w:style>
  <w:style w:type="paragraph" w:styleId="Index3">
    <w:name w:val="index 3"/>
    <w:basedOn w:val="ListNumber2"/>
    <w:next w:val="Normal"/>
    <w:semiHidden/>
    <w:rsid w:val="00F2525A"/>
    <w:pPr>
      <w:numPr>
        <w:numId w:val="0"/>
      </w:numPr>
      <w:tabs>
        <w:tab w:val="right" w:leader="dot" w:pos="4176"/>
      </w:tabs>
    </w:pPr>
  </w:style>
  <w:style w:type="paragraph" w:styleId="ListNumber2">
    <w:name w:val="List Number 2"/>
    <w:basedOn w:val="List2"/>
    <w:rsid w:val="00F2525A"/>
    <w:pPr>
      <w:numPr>
        <w:numId w:val="10"/>
      </w:numPr>
      <w:tabs>
        <w:tab w:val="clear" w:pos="1060"/>
      </w:tabs>
    </w:pPr>
  </w:style>
  <w:style w:type="paragraph" w:customStyle="1" w:styleId="MarginNote">
    <w:name w:val="Margin Note"/>
    <w:basedOn w:val="BodyText"/>
    <w:rsid w:val="00F25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2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525A"/>
    <w:rPr>
      <w:sz w:val="32"/>
    </w:rPr>
  </w:style>
  <w:style w:type="paragraph" w:customStyle="1" w:styleId="HeadingProcedure">
    <w:name w:val="Heading Procedure"/>
    <w:basedOn w:val="HeadingBase"/>
    <w:next w:val="Normal"/>
    <w:rsid w:val="00F2525A"/>
    <w:pPr>
      <w:tabs>
        <w:tab w:val="left" w:pos="0"/>
      </w:tabs>
      <w:spacing w:before="120" w:after="60"/>
    </w:pPr>
    <w:rPr>
      <w:i/>
      <w:color w:val="918585"/>
      <w:sz w:val="22"/>
    </w:rPr>
  </w:style>
  <w:style w:type="paragraph" w:customStyle="1" w:styleId="TableBodyText">
    <w:name w:val="Table Body Text"/>
    <w:basedOn w:val="BodyText"/>
    <w:rsid w:val="00F2525A"/>
    <w:pPr>
      <w:spacing w:before="60" w:after="60"/>
    </w:pPr>
  </w:style>
  <w:style w:type="paragraph" w:styleId="ListContinue">
    <w:name w:val="List Continue"/>
    <w:basedOn w:val="List"/>
    <w:rsid w:val="00F2525A"/>
    <w:pPr>
      <w:ind w:firstLine="0"/>
    </w:pPr>
  </w:style>
  <w:style w:type="paragraph" w:customStyle="1" w:styleId="ListNote">
    <w:name w:val="List Note"/>
    <w:basedOn w:val="List"/>
    <w:rsid w:val="00F2525A"/>
    <w:pPr>
      <w:pBdr>
        <w:top w:val="single" w:sz="6" w:space="2" w:color="918585"/>
        <w:bottom w:val="single" w:sz="6" w:space="2" w:color="918585"/>
      </w:pBdr>
      <w:tabs>
        <w:tab w:val="left" w:pos="1021"/>
      </w:tabs>
      <w:ind w:firstLine="0"/>
    </w:pPr>
  </w:style>
  <w:style w:type="paragraph" w:customStyle="1" w:styleId="Warning">
    <w:name w:val="Warning"/>
    <w:basedOn w:val="BodyText"/>
    <w:rsid w:val="00F2525A"/>
    <w:pPr>
      <w:shd w:val="clear" w:color="auto" w:fill="D9D9D9"/>
      <w:tabs>
        <w:tab w:val="left" w:pos="992"/>
      </w:tabs>
      <w:ind w:left="119" w:right="119"/>
    </w:pPr>
    <w:rPr>
      <w:sz w:val="20"/>
    </w:rPr>
  </w:style>
  <w:style w:type="paragraph" w:customStyle="1" w:styleId="MarginIcons">
    <w:name w:val="Margin Icons"/>
    <w:basedOn w:val="BodyText"/>
    <w:rsid w:val="00F25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25A"/>
    <w:rPr>
      <w:rFonts w:ascii="Courier New" w:hAnsi="Courier New"/>
    </w:rPr>
  </w:style>
  <w:style w:type="paragraph" w:customStyle="1" w:styleId="NoteBullet">
    <w:name w:val="Note Bullet"/>
    <w:basedOn w:val="Note"/>
    <w:rsid w:val="00F2525A"/>
    <w:pPr>
      <w:tabs>
        <w:tab w:val="clear" w:pos="680"/>
      </w:tabs>
      <w:spacing w:before="60" w:after="60"/>
    </w:pPr>
  </w:style>
  <w:style w:type="paragraph" w:customStyle="1" w:styleId="SubHeading2">
    <w:name w:val="SubHeading2"/>
    <w:basedOn w:val="HeadingBase"/>
    <w:rsid w:val="00F2525A"/>
    <w:pPr>
      <w:spacing w:before="240" w:after="60"/>
    </w:pPr>
    <w:rPr>
      <w:sz w:val="20"/>
    </w:rPr>
  </w:style>
  <w:style w:type="paragraph" w:customStyle="1" w:styleId="SubHeading1">
    <w:name w:val="SubHeading1"/>
    <w:basedOn w:val="HeadingBase"/>
    <w:rsid w:val="00F2525A"/>
    <w:pPr>
      <w:spacing w:before="240" w:after="60"/>
    </w:pPr>
    <w:rPr>
      <w:color w:val="918585"/>
      <w:sz w:val="22"/>
    </w:rPr>
  </w:style>
  <w:style w:type="paragraph" w:customStyle="1" w:styleId="SideHeading">
    <w:name w:val="Side Heading"/>
    <w:basedOn w:val="HeadingBase"/>
    <w:rsid w:val="00F25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25A"/>
    <w:pPr>
      <w:numPr>
        <w:numId w:val="12"/>
      </w:numPr>
    </w:pPr>
  </w:style>
  <w:style w:type="paragraph" w:styleId="PlainText">
    <w:name w:val="Plain Text"/>
    <w:basedOn w:val="Normal"/>
    <w:link w:val="PlainTextChar"/>
    <w:rsid w:val="00F2525A"/>
    <w:rPr>
      <w:sz w:val="20"/>
    </w:rPr>
  </w:style>
  <w:style w:type="character" w:customStyle="1" w:styleId="PlainTextChar">
    <w:name w:val="Plain Text Char"/>
    <w:basedOn w:val="DefaultParagraphFont"/>
    <w:link w:val="PlainText"/>
    <w:rsid w:val="00F252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525A"/>
    <w:rPr>
      <w:b/>
      <w:smallCaps/>
    </w:rPr>
  </w:style>
  <w:style w:type="paragraph" w:customStyle="1" w:styleId="TableListNumber">
    <w:name w:val="Table List Number"/>
    <w:basedOn w:val="ListNumber"/>
    <w:rsid w:val="00F2525A"/>
    <w:pPr>
      <w:numPr>
        <w:numId w:val="0"/>
      </w:numPr>
    </w:pPr>
  </w:style>
  <w:style w:type="paragraph" w:styleId="TOC4">
    <w:name w:val="toc 4"/>
    <w:basedOn w:val="TOCBase"/>
    <w:next w:val="Normal"/>
    <w:semiHidden/>
    <w:rsid w:val="00F2525A"/>
    <w:pPr>
      <w:tabs>
        <w:tab w:val="right" w:leader="dot" w:pos="9071"/>
      </w:tabs>
      <w:ind w:left="1701"/>
    </w:pPr>
  </w:style>
  <w:style w:type="paragraph" w:customStyle="1" w:styleId="ListAlpha">
    <w:name w:val="List Alpha"/>
    <w:basedOn w:val="List"/>
    <w:rsid w:val="00F2525A"/>
    <w:pPr>
      <w:numPr>
        <w:numId w:val="9"/>
      </w:numPr>
    </w:pPr>
  </w:style>
  <w:style w:type="paragraph" w:customStyle="1" w:styleId="ListAlpha2">
    <w:name w:val="List Alpha 2"/>
    <w:basedOn w:val="List2"/>
    <w:rsid w:val="00F2525A"/>
    <w:pPr>
      <w:numPr>
        <w:numId w:val="8"/>
      </w:numPr>
    </w:pPr>
  </w:style>
  <w:style w:type="paragraph" w:styleId="List3">
    <w:name w:val="List 3"/>
    <w:basedOn w:val="BodyText"/>
    <w:rsid w:val="00F2525A"/>
    <w:pPr>
      <w:tabs>
        <w:tab w:val="left" w:pos="1021"/>
      </w:tabs>
      <w:spacing w:before="60" w:after="60"/>
      <w:ind w:left="1020" w:hanging="340"/>
    </w:pPr>
  </w:style>
  <w:style w:type="paragraph" w:styleId="List4">
    <w:name w:val="List 4"/>
    <w:basedOn w:val="BodyText"/>
    <w:rsid w:val="00F2525A"/>
    <w:pPr>
      <w:tabs>
        <w:tab w:val="left" w:pos="1361"/>
      </w:tabs>
      <w:spacing w:before="60" w:after="60"/>
      <w:ind w:left="1361" w:hanging="340"/>
    </w:pPr>
  </w:style>
  <w:style w:type="paragraph" w:styleId="List5">
    <w:name w:val="List 5"/>
    <w:basedOn w:val="BodyText"/>
    <w:rsid w:val="00F2525A"/>
    <w:pPr>
      <w:tabs>
        <w:tab w:val="left" w:pos="1701"/>
      </w:tabs>
      <w:spacing w:before="60" w:after="60"/>
      <w:ind w:left="1701" w:hanging="340"/>
    </w:pPr>
  </w:style>
  <w:style w:type="paragraph" w:styleId="ListBullet3">
    <w:name w:val="List Bullet 3"/>
    <w:basedOn w:val="List3"/>
    <w:rsid w:val="00F2525A"/>
    <w:pPr>
      <w:numPr>
        <w:numId w:val="15"/>
      </w:numPr>
      <w:tabs>
        <w:tab w:val="clear" w:pos="1021"/>
      </w:tabs>
      <w:ind w:left="1037" w:hanging="357"/>
    </w:pPr>
  </w:style>
  <w:style w:type="paragraph" w:styleId="ListBullet4">
    <w:name w:val="List Bullet 4"/>
    <w:basedOn w:val="List4"/>
    <w:rsid w:val="00F2525A"/>
    <w:pPr>
      <w:numPr>
        <w:numId w:val="3"/>
      </w:numPr>
    </w:pPr>
  </w:style>
  <w:style w:type="paragraph" w:styleId="ListBullet5">
    <w:name w:val="List Bullet 5"/>
    <w:basedOn w:val="List5"/>
    <w:rsid w:val="00F2525A"/>
    <w:pPr>
      <w:numPr>
        <w:numId w:val="4"/>
      </w:numPr>
    </w:pPr>
  </w:style>
  <w:style w:type="paragraph" w:styleId="ListContinue2">
    <w:name w:val="List Continue 2"/>
    <w:basedOn w:val="List2"/>
    <w:rsid w:val="00F2525A"/>
    <w:pPr>
      <w:ind w:firstLine="0"/>
    </w:pPr>
  </w:style>
  <w:style w:type="paragraph" w:styleId="ListContinue3">
    <w:name w:val="List Continue 3"/>
    <w:basedOn w:val="List3"/>
    <w:rsid w:val="00F2525A"/>
    <w:pPr>
      <w:ind w:left="1021" w:firstLine="0"/>
    </w:pPr>
  </w:style>
  <w:style w:type="paragraph" w:styleId="ListContinue4">
    <w:name w:val="List Continue 4"/>
    <w:basedOn w:val="List4"/>
    <w:rsid w:val="00F2525A"/>
    <w:pPr>
      <w:ind w:firstLine="0"/>
    </w:pPr>
  </w:style>
  <w:style w:type="paragraph" w:styleId="ListContinue5">
    <w:name w:val="List Continue 5"/>
    <w:basedOn w:val="List5"/>
    <w:rsid w:val="00F2525A"/>
    <w:pPr>
      <w:ind w:firstLine="0"/>
    </w:pPr>
  </w:style>
  <w:style w:type="paragraph" w:styleId="ListNumber3">
    <w:name w:val="List Number 3"/>
    <w:basedOn w:val="List3"/>
    <w:rsid w:val="00F2525A"/>
    <w:pPr>
      <w:numPr>
        <w:numId w:val="5"/>
      </w:numPr>
    </w:pPr>
  </w:style>
  <w:style w:type="paragraph" w:styleId="ListNumber4">
    <w:name w:val="List Number 4"/>
    <w:basedOn w:val="List4"/>
    <w:rsid w:val="00F2525A"/>
    <w:pPr>
      <w:numPr>
        <w:numId w:val="6"/>
      </w:numPr>
    </w:pPr>
  </w:style>
  <w:style w:type="paragraph" w:styleId="ListNumber5">
    <w:name w:val="List Number 5"/>
    <w:basedOn w:val="List5"/>
    <w:rsid w:val="00F2525A"/>
    <w:pPr>
      <w:numPr>
        <w:numId w:val="7"/>
      </w:numPr>
    </w:pPr>
  </w:style>
  <w:style w:type="paragraph" w:styleId="BlockText">
    <w:name w:val="Block Text"/>
    <w:basedOn w:val="Normal"/>
    <w:rsid w:val="00F2525A"/>
    <w:pPr>
      <w:spacing w:after="120"/>
      <w:ind w:left="1440" w:right="1440"/>
    </w:pPr>
  </w:style>
  <w:style w:type="character" w:customStyle="1" w:styleId="Subscript">
    <w:name w:val="Subscript"/>
    <w:basedOn w:val="DefaultParagraphFont"/>
    <w:rsid w:val="00F2525A"/>
    <w:rPr>
      <w:sz w:val="16"/>
      <w:vertAlign w:val="subscript"/>
    </w:rPr>
  </w:style>
  <w:style w:type="character" w:customStyle="1" w:styleId="Superscript">
    <w:name w:val="Superscript"/>
    <w:basedOn w:val="DefaultParagraphFont"/>
    <w:rsid w:val="00F2525A"/>
    <w:rPr>
      <w:sz w:val="16"/>
      <w:vertAlign w:val="superscript"/>
    </w:rPr>
  </w:style>
  <w:style w:type="character" w:customStyle="1" w:styleId="Symbols">
    <w:name w:val="Symbols"/>
    <w:basedOn w:val="DefaultParagraphFont"/>
    <w:rsid w:val="00F2525A"/>
    <w:rPr>
      <w:rFonts w:ascii="Symbol" w:hAnsi="Symbol"/>
    </w:rPr>
  </w:style>
  <w:style w:type="character" w:customStyle="1" w:styleId="MenuOptions">
    <w:name w:val="Menu Options"/>
    <w:basedOn w:val="DefaultParagraphFont"/>
    <w:rsid w:val="00F2525A"/>
    <w:rPr>
      <w:rFonts w:ascii="Arial Narrow" w:hAnsi="Arial Narrow"/>
      <w:smallCaps/>
    </w:rPr>
  </w:style>
  <w:style w:type="character" w:customStyle="1" w:styleId="Buttons">
    <w:name w:val="Buttons"/>
    <w:basedOn w:val="DefaultParagraphFont"/>
    <w:rsid w:val="00F2525A"/>
    <w:rPr>
      <w:b/>
    </w:rPr>
  </w:style>
  <w:style w:type="character" w:customStyle="1" w:styleId="Underlined">
    <w:name w:val="Underlined"/>
    <w:basedOn w:val="DefaultParagraphFont"/>
    <w:rsid w:val="00F2525A"/>
    <w:rPr>
      <w:u w:val="single"/>
    </w:rPr>
  </w:style>
  <w:style w:type="paragraph" w:customStyle="1" w:styleId="TableBodyTextRight">
    <w:name w:val="Table Body Text Right"/>
    <w:basedOn w:val="TableBodyText"/>
    <w:rsid w:val="00F2525A"/>
    <w:pPr>
      <w:widowControl w:val="0"/>
      <w:autoSpaceDE w:val="0"/>
      <w:autoSpaceDN w:val="0"/>
      <w:adjustRightInd w:val="0"/>
      <w:jc w:val="right"/>
    </w:pPr>
    <w:rPr>
      <w:rFonts w:cs="Arial"/>
      <w:szCs w:val="18"/>
    </w:rPr>
  </w:style>
  <w:style w:type="paragraph" w:customStyle="1" w:styleId="CopyrightText">
    <w:name w:val="Copyright Text"/>
    <w:basedOn w:val="BodyText"/>
    <w:rsid w:val="00F2525A"/>
    <w:rPr>
      <w:sz w:val="18"/>
    </w:rPr>
  </w:style>
  <w:style w:type="paragraph" w:customStyle="1" w:styleId="BodySmallRight">
    <w:name w:val="Body Small Right"/>
    <w:basedOn w:val="BodyTextRight"/>
    <w:rsid w:val="00F2525A"/>
    <w:rPr>
      <w:sz w:val="18"/>
      <w:szCs w:val="18"/>
    </w:rPr>
  </w:style>
  <w:style w:type="paragraph" w:customStyle="1" w:styleId="MarginEdition">
    <w:name w:val="Margin Edition"/>
    <w:basedOn w:val="MarginNote"/>
    <w:rsid w:val="00F2525A"/>
    <w:pPr>
      <w:spacing w:before="0" w:after="0"/>
    </w:pPr>
    <w:rPr>
      <w:rFonts w:ascii="Times New Roman" w:hAnsi="Times New Roman"/>
      <w:color w:val="999999"/>
    </w:rPr>
  </w:style>
  <w:style w:type="paragraph" w:customStyle="1" w:styleId="Spacer">
    <w:name w:val="Spacer"/>
    <w:basedOn w:val="Normal"/>
    <w:rsid w:val="00F2525A"/>
    <w:rPr>
      <w:sz w:val="2"/>
      <w:szCs w:val="2"/>
    </w:rPr>
  </w:style>
  <w:style w:type="character" w:customStyle="1" w:styleId="Small">
    <w:name w:val="Small"/>
    <w:basedOn w:val="DefaultParagraphFont"/>
    <w:rsid w:val="00F2525A"/>
    <w:rPr>
      <w:sz w:val="16"/>
    </w:rPr>
  </w:style>
  <w:style w:type="paragraph" w:customStyle="1" w:styleId="WideTable">
    <w:name w:val="Wide Table"/>
    <w:basedOn w:val="Normal"/>
    <w:rsid w:val="00F2525A"/>
    <w:pPr>
      <w:ind w:left="-1418"/>
    </w:pPr>
    <w:rPr>
      <w:sz w:val="2"/>
      <w:szCs w:val="2"/>
    </w:rPr>
  </w:style>
  <w:style w:type="character" w:styleId="PageNumber">
    <w:name w:val="page number"/>
    <w:basedOn w:val="DefaultParagraphFont"/>
    <w:rsid w:val="00F2525A"/>
  </w:style>
  <w:style w:type="paragraph" w:styleId="Quote">
    <w:name w:val="Quote"/>
    <w:basedOn w:val="Heading1"/>
    <w:link w:val="QuoteChar"/>
    <w:qFormat/>
    <w:rsid w:val="00F2525A"/>
    <w:rPr>
      <w:b w:val="0"/>
      <w:sz w:val="72"/>
      <w:szCs w:val="72"/>
      <w:lang w:val="en-NZ"/>
    </w:rPr>
  </w:style>
  <w:style w:type="character" w:customStyle="1" w:styleId="QuoteChar">
    <w:name w:val="Quote Char"/>
    <w:basedOn w:val="DefaultParagraphFont"/>
    <w:link w:val="Quote"/>
    <w:rsid w:val="00F25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25A"/>
    <w:pPr>
      <w:pageBreakBefore/>
    </w:pPr>
  </w:style>
  <w:style w:type="paragraph" w:customStyle="1" w:styleId="Border">
    <w:name w:val="Border"/>
    <w:basedOn w:val="Normal"/>
    <w:qFormat/>
    <w:rsid w:val="00F25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25A"/>
    <w:rPr>
      <w:b/>
      <w:bCs/>
      <w:i/>
      <w:iCs/>
      <w:color w:val="auto"/>
    </w:rPr>
  </w:style>
  <w:style w:type="paragraph" w:styleId="IntenseQuote">
    <w:name w:val="Intense Quote"/>
    <w:basedOn w:val="Normal"/>
    <w:next w:val="Normal"/>
    <w:link w:val="IntenseQuoteChar"/>
    <w:uiPriority w:val="30"/>
    <w:qFormat/>
    <w:rsid w:val="00F25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2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525A"/>
    <w:rPr>
      <w:smallCaps/>
      <w:color w:val="auto"/>
      <w:u w:val="single"/>
    </w:rPr>
  </w:style>
  <w:style w:type="character" w:styleId="IntenseReference">
    <w:name w:val="Intense Reference"/>
    <w:basedOn w:val="DefaultParagraphFont"/>
    <w:uiPriority w:val="32"/>
    <w:qFormat/>
    <w:rsid w:val="00F2525A"/>
    <w:rPr>
      <w:b/>
      <w:bCs/>
      <w:smallCaps/>
      <w:color w:val="auto"/>
      <w:spacing w:val="5"/>
      <w:u w:val="single"/>
    </w:rPr>
  </w:style>
  <w:style w:type="paragraph" w:customStyle="1" w:styleId="2ColumnHeading">
    <w:name w:val="2Column Heading"/>
    <w:basedOn w:val="BodyText"/>
    <w:qFormat/>
    <w:rsid w:val="00F2525A"/>
    <w:pPr>
      <w:spacing w:after="60"/>
      <w:ind w:left="-2268"/>
    </w:pPr>
    <w:rPr>
      <w:b/>
    </w:rPr>
  </w:style>
  <w:style w:type="paragraph" w:customStyle="1" w:styleId="Heading1TOC">
    <w:name w:val="Heading1 TOC"/>
    <w:basedOn w:val="Normal"/>
    <w:qFormat/>
    <w:rsid w:val="00F2525A"/>
    <w:pPr>
      <w:spacing w:before="240" w:after="120"/>
    </w:pPr>
    <w:rPr>
      <w:rFonts w:ascii="Times New Roman" w:hAnsi="Times New Roman"/>
      <w:b/>
      <w:sz w:val="32"/>
    </w:rPr>
  </w:style>
  <w:style w:type="paragraph" w:customStyle="1" w:styleId="Heading2TOC">
    <w:name w:val="Heading2 TOC"/>
    <w:basedOn w:val="Normal"/>
    <w:qFormat/>
    <w:rsid w:val="00F2525A"/>
    <w:pPr>
      <w:spacing w:before="240" w:after="60"/>
    </w:pPr>
    <w:rPr>
      <w:rFonts w:ascii="Times New Roman" w:hAnsi="Times New Roman"/>
      <w:b/>
      <w:sz w:val="28"/>
    </w:rPr>
  </w:style>
  <w:style w:type="character" w:customStyle="1" w:styleId="Underline">
    <w:name w:val="Underline"/>
    <w:basedOn w:val="DefaultParagraphFont"/>
    <w:qFormat/>
    <w:rsid w:val="00F2525A"/>
    <w:rPr>
      <w:u w:val="single"/>
    </w:rPr>
  </w:style>
  <w:style w:type="character" w:customStyle="1" w:styleId="BoldandItalics">
    <w:name w:val="Bold and Italics"/>
    <w:qFormat/>
    <w:rsid w:val="00F2525A"/>
    <w:rPr>
      <w:b/>
      <w:i/>
      <w:u w:val="none"/>
    </w:rPr>
  </w:style>
  <w:style w:type="paragraph" w:styleId="BalloonText">
    <w:name w:val="Balloon Text"/>
    <w:basedOn w:val="Normal"/>
    <w:link w:val="BalloonTextChar"/>
    <w:rsid w:val="00F2525A"/>
    <w:rPr>
      <w:rFonts w:ascii="Tahoma" w:hAnsi="Tahoma" w:cs="Tahoma"/>
      <w:sz w:val="16"/>
      <w:szCs w:val="16"/>
    </w:rPr>
  </w:style>
  <w:style w:type="character" w:customStyle="1" w:styleId="BalloonTextChar">
    <w:name w:val="Balloon Text Char"/>
    <w:basedOn w:val="DefaultParagraphFont"/>
    <w:link w:val="BalloonText"/>
    <w:rsid w:val="00F252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52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52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1217</Words>
  <Characters>7476</Characters>
  <Application>Microsoft Office Word</Application>
  <DocSecurity>0</DocSecurity>
  <Lines>273</Lines>
  <Paragraphs>136</Paragraphs>
  <ScaleCrop>false</ScaleCrop>
  <Company>Author-it Software Corporation Ltd.</Company>
  <LinksUpToDate>false</LinksUpToDate>
  <CharactersWithSpaces>8601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PMC552003C Operate grinding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2012-05-26T19:07:00Z</dcterms:created>
  <dcterms:modified xsi:type="dcterms:W3CDTF">2012-05-26T19:07:00Z</dcterms:modified>
</cp:coreProperties>
</file>