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876" w:rsidP="00B44876">
      <w:pPr>
        <w:pStyle w:val="Title"/>
      </w:pPr>
      <w:r>
        <w:fldChar w:fldCharType="begin"/>
      </w:r>
      <w:r>
        <w:instrText xml:space="preserve"> TITLE   \* MERGEFORMAT </w:instrText>
      </w:r>
      <w:r>
        <w:fldChar w:fldCharType="separate"/>
      </w:r>
      <w:r>
        <w:t>PMCOPS261B Deliver concrete to site</w:t>
      </w:r>
      <w:r>
        <w:fldChar w:fldCharType="end"/>
      </w:r>
    </w:p>
    <w:p w:rsidR="00B44876" w:rsidP="00B44876">
      <w:pPr>
        <w:pStyle w:val="Version"/>
        <w:sectPr w:rsidSect="008941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16F" w:rsidP="0089416F">
      <w:pPr>
        <w:pStyle w:val="SuperHeading"/>
      </w:pPr>
      <w:r w:rsidRPr="0089416F">
        <w:t>PMCOPS261B Deliver concrete to site</w:t>
      </w:r>
    </w:p>
    <w:p w:rsidR="00000000" w:rsidRPr="0089416F" w:rsidP="0089416F">
      <w:pPr>
        <w:pStyle w:val="Heading1"/>
      </w:pPr>
      <w:bookmarkStart w:id="1" w:name="O_312065"/>
      <w:bookmarkEnd w:id="1"/>
      <w:r w:rsidRPr="0089416F">
        <w:t>Modification History</w:t>
      </w:r>
    </w:p>
    <w:p w:rsidR="00000000" w:rsidRPr="0089416F" w:rsidP="0089416F">
      <w:pPr>
        <w:pStyle w:val="Heading1"/>
      </w:pPr>
      <w:bookmarkStart w:id="2" w:name="O_312064"/>
      <w:bookmarkEnd w:id="2"/>
      <w:r w:rsidRPr="0089416F">
        <w:t>Unit Descriptor</w:t>
      </w:r>
    </w:p>
    <w:p w:rsidR="00000000" w:rsidRPr="0089416F" w:rsidP="0089416F">
      <w:pPr>
        <w:pStyle w:val="BodyText"/>
      </w:pPr>
      <w:r w:rsidRPr="0089416F">
        <w:t>This competency covers the efficient delivery of quality concrete to site by road using an agitator or similar.</w:t>
      </w:r>
    </w:p>
    <w:p w:rsidR="00000000" w:rsidRPr="0089416F" w:rsidP="0089416F">
      <w:pPr>
        <w:pStyle w:val="BodyText"/>
      </w:pPr>
      <w:r w:rsidRPr="0089416F">
        <w:t>In a typical scenario an operator de</w:t>
      </w:r>
      <w:r w:rsidRPr="0089416F">
        <w:t xml:space="preserve">livers premix concrete to a customer. The operator is able to determine the product requirements from the production schedule and specifications. The operator typically works independently with frequent contact with the base plant.  This competency is NOT </w:t>
      </w:r>
      <w:r w:rsidRPr="0089416F">
        <w:t xml:space="preserve">intended to be used for the delivery of concrete within a site using mobile equipment or overhead cranes. </w:t>
      </w:r>
      <w:r w:rsidRPr="0089416F">
        <w:rPr>
          <w:rStyle w:val="SpecialBold"/>
        </w:rPr>
        <w:t xml:space="preserve">PMCSUP270A Move materials </w:t>
      </w:r>
      <w:r w:rsidRPr="0089416F">
        <w:t xml:space="preserve">should be used in these circumstances. </w:t>
      </w:r>
    </w:p>
    <w:p w:rsidR="00000000" w:rsidRPr="0089416F" w:rsidP="0089416F">
      <w:pPr>
        <w:pStyle w:val="AllowPageBreak"/>
      </w:pPr>
    </w:p>
    <w:p w:rsidR="00000000" w:rsidRPr="0089416F" w:rsidP="0089416F">
      <w:pPr>
        <w:pStyle w:val="Heading1"/>
      </w:pPr>
      <w:bookmarkStart w:id="3" w:name="O_312063"/>
      <w:bookmarkEnd w:id="3"/>
      <w:r w:rsidRPr="0089416F">
        <w:t>Application of the Unit</w:t>
      </w:r>
    </w:p>
    <w:p w:rsidR="00000000" w:rsidRPr="0089416F" w:rsidP="0089416F">
      <w:pPr>
        <w:pStyle w:val="Heading1"/>
      </w:pPr>
      <w:bookmarkStart w:id="4" w:name="O_312062"/>
      <w:bookmarkEnd w:id="4"/>
      <w:r w:rsidRPr="0089416F">
        <w:t>Licensing/Regulatory Inform</w:t>
      </w:r>
      <w:r w:rsidRPr="0089416F">
        <w:t>ation</w:t>
      </w:r>
    </w:p>
    <w:p w:rsidR="00000000" w:rsidRPr="0089416F" w:rsidP="0089416F">
      <w:pPr>
        <w:pStyle w:val="Heading1"/>
      </w:pPr>
      <w:bookmarkStart w:id="5" w:name="O_312057"/>
      <w:bookmarkEnd w:id="5"/>
      <w:r w:rsidRPr="0089416F">
        <w:t>Pre-Requisites</w:t>
      </w:r>
    </w:p>
    <w:p w:rsidR="00000000" w:rsidRPr="0089416F" w:rsidP="0089416F">
      <w:pPr>
        <w:pStyle w:val="BodyText"/>
      </w:pPr>
      <w:r w:rsidRPr="0089416F">
        <w:t xml:space="preserve">This unit </w:t>
      </w:r>
      <w:r w:rsidRPr="0089416F">
        <w:rPr>
          <w:rStyle w:val="SpecialBold"/>
        </w:rPr>
        <w:t xml:space="preserve">has </w:t>
      </w:r>
      <w:r w:rsidRPr="0089416F">
        <w:t>the prerequisite competencies of:</w:t>
      </w:r>
    </w:p>
    <w:p w:rsidR="00000000" w:rsidRPr="0089416F" w:rsidP="0089416F">
      <w:pPr>
        <w:pStyle w:val="BodyText"/>
      </w:pPr>
      <w:r w:rsidRPr="0089416F">
        <w:t>TDTC497C Drive heavy rigid vehicle (or such other relevant truck driving competency unit as may from time to time be required).</w:t>
      </w:r>
    </w:p>
    <w:p w:rsidR="00000000" w:rsidRPr="0089416F" w:rsidP="0089416F">
      <w:pPr>
        <w:pStyle w:val="AllowPageBreak"/>
      </w:pPr>
    </w:p>
    <w:p w:rsidR="00000000" w:rsidRPr="0089416F" w:rsidP="0089416F">
      <w:pPr>
        <w:pStyle w:val="Heading1"/>
      </w:pPr>
      <w:bookmarkStart w:id="6" w:name="O_312067"/>
      <w:bookmarkEnd w:id="6"/>
      <w:r w:rsidRPr="0089416F">
        <w:t>Employability Skills Information</w:t>
      </w:r>
    </w:p>
    <w:p w:rsidR="00000000" w:rsidRPr="0089416F" w:rsidP="0089416F">
      <w:pPr>
        <w:pStyle w:val="Heading1"/>
      </w:pPr>
      <w:bookmarkStart w:id="7" w:name="O_312066"/>
      <w:bookmarkEnd w:id="7"/>
      <w:r w:rsidRPr="0089416F">
        <w:t>Elements and Performance Criteria Pre-Content</w:t>
      </w:r>
    </w:p>
    <w:p w:rsidR="00000000" w:rsidRPr="0089416F" w:rsidP="0089416F">
      <w:pPr>
        <w:pStyle w:val="Heading1"/>
      </w:pPr>
      <w:bookmarkStart w:id="8" w:name="O_312056"/>
      <w:bookmarkEnd w:id="8"/>
      <w:r w:rsidRPr="0089416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4487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rPr>
                <w:rStyle w:val="SpecialBold"/>
              </w:rPr>
              <w:t>Elements and Performance Criteria</w:t>
            </w:r>
          </w:p>
        </w:tc>
      </w:tr>
      <w:tr w:rsidTr="00B4487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9416F" w:rsidP="0089416F">
            <w:pPr>
              <w:pStyle w:val="BodyText"/>
            </w:pPr>
            <w:r w:rsidRPr="0089416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rPr>
                <w:rStyle w:val="SpecialBold"/>
              </w:rPr>
              <w:t>Performance Criteria</w:t>
            </w:r>
          </w:p>
        </w:tc>
      </w:tr>
      <w:tr w:rsidTr="00B448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1</w:t>
            </w:r>
          </w:p>
        </w:tc>
        <w:tc>
          <w:tcPr>
            <w:tcW w:w="3000" w:type="dxa"/>
            <w:vMerge w:val="restart"/>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Charge concrete to agitator.</w:t>
            </w: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1.1</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Check job requirements and charge right job to agitator</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1.2</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Determine water requirements and add to mix</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1.3</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Check any special batch requirements and take action required.</w:t>
            </w:r>
          </w:p>
        </w:tc>
      </w:tr>
      <w:tr w:rsidTr="00B448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2</w:t>
            </w:r>
          </w:p>
        </w:tc>
        <w:tc>
          <w:tcPr>
            <w:tcW w:w="3000" w:type="dxa"/>
            <w:vMerge w:val="restart"/>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Deliver concrete.</w:t>
            </w: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2.1</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Check slump to procedures</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2.2</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Deliver concrete within required time and without delay</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2.3</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Position vehicle as required by safety needs and customer specifications</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2.4</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Report breakdowns or lengthy delays en route</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2.5</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Maintain product quality as per requirements and procedures.</w:t>
            </w:r>
          </w:p>
        </w:tc>
      </w:tr>
      <w:tr w:rsidTr="00B448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3</w:t>
            </w:r>
          </w:p>
        </w:tc>
        <w:tc>
          <w:tcPr>
            <w:tcW w:w="3000" w:type="dxa"/>
            <w:vMerge w:val="restart"/>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Conform to site protocols.</w:t>
            </w: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3.1</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Check access to site with customer</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3.2</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Assess site conditions and then drive off road in a manner suited to the conditions, load and site requirements</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3.3</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Mix concrete on site as per quality requirements</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3.4</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Discharge concrete as required by customer</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3.5</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Clean agitator on site after negotiating this with customer</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3.6</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Complete all records including addition of water.</w:t>
            </w:r>
          </w:p>
        </w:tc>
      </w:tr>
      <w:tr w:rsidTr="00B448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4</w:t>
            </w:r>
          </w:p>
        </w:tc>
        <w:tc>
          <w:tcPr>
            <w:tcW w:w="3000" w:type="dxa"/>
            <w:vMerge w:val="restart"/>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Rectify routine problems.</w:t>
            </w: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4.1</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Identify the range of faults that can occur during the operation</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4.2</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Determine and rectify fault causes in accordance with procedures/work instructions</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4.3</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Identify and rectify equipment failure causes in accordance with procedures</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4.4</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Make sure appropriate records and log books of equipment operations are maintained to meet procedures</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4.5</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Identify non-routine problems and report to designated person.</w:t>
            </w:r>
          </w:p>
        </w:tc>
      </w:tr>
      <w:tr w:rsidTr="00B448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5</w:t>
            </w:r>
          </w:p>
        </w:tc>
        <w:tc>
          <w:tcPr>
            <w:tcW w:w="3000" w:type="dxa"/>
            <w:vMerge w:val="restart"/>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Control hazards.</w:t>
            </w: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5.1</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Identify hazards from the job to be done</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5.2</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Identify other hazards in the work area</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5.3</w:t>
            </w:r>
          </w:p>
        </w:tc>
        <w:tc>
          <w:tcPr>
            <w:tcW w:w="51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Assess the risks arising from those hazards</w:t>
            </w:r>
          </w:p>
        </w:tc>
      </w:tr>
      <w:tr w:rsidTr="00B448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5.4</w:t>
            </w:r>
          </w:p>
        </w:tc>
        <w:tc>
          <w:tcPr>
            <w:tcW w:w="5100" w:type="dxa"/>
            <w:tcBorders>
              <w:top w:val="nil"/>
              <w:left w:val="nil"/>
              <w:bottom w:val="nil"/>
              <w:right w:val="nil"/>
            </w:tcBorders>
            <w:tcMar>
              <w:top w:w="0" w:type="dxa"/>
              <w:left w:w="62" w:type="dxa"/>
              <w:bottom w:w="0" w:type="dxa"/>
              <w:right w:w="62" w:type="dxa"/>
            </w:tcMar>
          </w:tcPr>
          <w:p w:rsidR="00000000" w:rsidRPr="0089416F" w:rsidP="0089416F">
            <w:pPr>
              <w:pStyle w:val="BodyText"/>
            </w:pPr>
            <w:r w:rsidRPr="0089416F">
              <w:t>Implement measures to control those risks in line with procedures.</w:t>
            </w:r>
          </w:p>
        </w:tc>
      </w:tr>
    </w:tbl>
    <w:p w:rsidR="00000000" w:rsidRPr="0089416F" w:rsidP="0089416F">
      <w:pPr>
        <w:pStyle w:val="BodyText"/>
      </w:pPr>
    </w:p>
    <w:p w:rsidR="00000000" w:rsidRPr="0089416F" w:rsidP="0089416F">
      <w:pPr>
        <w:pStyle w:val="AllowPageBreak"/>
      </w:pPr>
    </w:p>
    <w:p w:rsidR="00000000" w:rsidRPr="0089416F" w:rsidP="0089416F">
      <w:pPr>
        <w:pStyle w:val="Heading1"/>
      </w:pPr>
      <w:bookmarkStart w:id="9" w:name="O_312061"/>
      <w:bookmarkEnd w:id="9"/>
      <w:r w:rsidRPr="0089416F">
        <w:t>Required Skills and Knowledge</w:t>
      </w:r>
    </w:p>
    <w:p w:rsidR="00000000" w:rsidRPr="0089416F" w:rsidP="0089416F">
      <w:pPr>
        <w:pStyle w:val="Heading1"/>
      </w:pPr>
      <w:bookmarkStart w:id="10" w:name="O_312060"/>
      <w:bookmarkEnd w:id="10"/>
      <w:r w:rsidRPr="0089416F">
        <w:t>Evidence Guide</w:t>
      </w:r>
    </w:p>
    <w:p w:rsidR="00000000" w:rsidRPr="0089416F" w:rsidP="0089416F">
      <w:pPr>
        <w:pStyle w:val="BodyText"/>
      </w:pPr>
      <w:r w:rsidRPr="0089416F">
        <w:rPr>
          <w:rStyle w:val="SpecialBold"/>
        </w:rPr>
        <w:t>Evidence gu</w:t>
      </w:r>
      <w:r w:rsidRPr="0089416F">
        <w:rPr>
          <w:rStyle w:val="SpecialBold"/>
        </w:rPr>
        <w:t>ide</w:t>
      </w:r>
    </w:p>
    <w:p w:rsidR="00000000" w:rsidRPr="0089416F" w:rsidP="0089416F">
      <w:pPr>
        <w:pStyle w:val="BodyText"/>
      </w:pPr>
      <w:r w:rsidRPr="0089416F">
        <w:rPr>
          <w:rStyle w:val="SpecialBold"/>
        </w:rPr>
        <w:t>Assessment context and methods</w:t>
      </w:r>
    </w:p>
    <w:p w:rsidR="00000000" w:rsidRPr="0089416F" w:rsidP="0089416F">
      <w:pPr>
        <w:pStyle w:val="BodyText"/>
      </w:pPr>
      <w:r w:rsidRPr="0089416F">
        <w:t>Assessment for this unit of competency will be on an operating plant. The unit will be assessed in as holistic a manner as is practical and may be integrated with the assessment of other relevant units of competency. Asse</w:t>
      </w:r>
      <w:r w:rsidRPr="0089416F">
        <w:t>ssment will occur over a range of situations which will include disruptions to normal, smooth operation.</w:t>
      </w:r>
    </w:p>
    <w:p w:rsidR="00000000" w:rsidRPr="0089416F" w:rsidP="0089416F">
      <w:pPr>
        <w:pStyle w:val="BodyText"/>
      </w:pPr>
      <w:r w:rsidRPr="0089416F">
        <w:t>Simulation or case studies/scenarios may be required to allow for timely assessment of parts of this competency unit (eg, those parts of element 3 refe</w:t>
      </w:r>
      <w:r w:rsidRPr="0089416F">
        <w:t>rring to dealing with customers). Simulation should be based on the actual plant and will include 'walk-throughs' of the relevant competency components. Simulations may also include the use of case studies/scenarios and role plays.</w:t>
      </w:r>
    </w:p>
    <w:p w:rsidR="00000000" w:rsidRPr="0089416F" w:rsidP="0089416F">
      <w:pPr>
        <w:pStyle w:val="BodyText"/>
      </w:pPr>
      <w:r w:rsidRPr="0089416F">
        <w:rPr>
          <w:rStyle w:val="SpecialBold"/>
        </w:rPr>
        <w:t>Critical aspects</w:t>
      </w:r>
    </w:p>
    <w:p w:rsidR="00000000" w:rsidRPr="0089416F" w:rsidP="0089416F">
      <w:pPr>
        <w:pStyle w:val="BodyText"/>
      </w:pPr>
      <w:r w:rsidRPr="0089416F">
        <w:t>Competence must be demonstrated in the ability to recognise situations requiring action and then in implementing appropriate corrective action. Consistent performance should be demonstrated. In particular look to see that:</w:t>
      </w:r>
    </w:p>
    <w:p w:rsidR="00000000" w:rsidRPr="0089416F" w:rsidP="0089416F">
      <w:pPr>
        <w:pStyle w:val="BodyText"/>
      </w:pPr>
      <w:r w:rsidRPr="0089416F">
        <w:t>concrete is delivered in full, on</w:t>
      </w:r>
      <w:r w:rsidRPr="0089416F">
        <w:t xml:space="preserve"> time and in specification</w:t>
      </w:r>
    </w:p>
    <w:p w:rsidR="00000000" w:rsidRPr="0089416F" w:rsidP="0089416F">
      <w:pPr>
        <w:pStyle w:val="BodyText"/>
      </w:pPr>
      <w:r w:rsidRPr="0089416F">
        <w:t>there are good relations with the customers</w:t>
      </w:r>
    </w:p>
    <w:p w:rsidR="00000000" w:rsidRPr="0089416F" w:rsidP="0089416F">
      <w:pPr>
        <w:pStyle w:val="BodyText"/>
      </w:pPr>
      <w:r w:rsidRPr="0089416F">
        <w:t>there is good liaison with the batching plant.</w:t>
      </w:r>
    </w:p>
    <w:p w:rsidR="00000000" w:rsidRPr="0089416F" w:rsidP="0089416F">
      <w:pPr>
        <w:pStyle w:val="BodyText"/>
      </w:pPr>
      <w:r w:rsidRPr="0089416F">
        <w:t>These aspects may be best assessed using a range of scenarios/case studies/what ifs as the stimulus, with a walk-through forming part of t</w:t>
      </w:r>
      <w:r w:rsidRPr="0089416F">
        <w:t>he response. The assessment activities should include responding to a range of problems.</w:t>
      </w:r>
    </w:p>
    <w:p w:rsidR="00000000" w:rsidRPr="0089416F" w:rsidP="0089416F">
      <w:pPr>
        <w:pStyle w:val="BodyText"/>
      </w:pPr>
      <w:r w:rsidRPr="0089416F">
        <w:rPr>
          <w:rStyle w:val="SpecialBold"/>
        </w:rPr>
        <w:t>Resource implications</w:t>
      </w:r>
    </w:p>
    <w:p w:rsidR="00000000" w:rsidRPr="0089416F" w:rsidP="0089416F">
      <w:pPr>
        <w:pStyle w:val="BodyText"/>
      </w:pPr>
      <w:r w:rsidRPr="0089416F">
        <w:t>Assessment will require access to an operating plant over an extended period of time, or a suitable method of gathering evidence of operating abi</w:t>
      </w:r>
      <w:r w:rsidRPr="0089416F">
        <w:t>lity over a range of situations. A bank of scenarios/case studies/what ifs will be required as will a bank of questions which will be used to probe the reasoning behind the observable actions.</w:t>
      </w:r>
    </w:p>
    <w:p w:rsidR="00000000" w:rsidRPr="0089416F" w:rsidP="0089416F">
      <w:pPr>
        <w:pStyle w:val="BodyText"/>
      </w:pPr>
      <w:r w:rsidRPr="0089416F">
        <w:rPr>
          <w:rStyle w:val="SpecialBold"/>
        </w:rPr>
        <w:t>Other assessment advice</w:t>
      </w:r>
    </w:p>
    <w:p w:rsidR="00000000" w:rsidRPr="0089416F" w:rsidP="0089416F">
      <w:pPr>
        <w:pStyle w:val="BodyText"/>
      </w:pPr>
      <w:r w:rsidRPr="0089416F">
        <w:t>This unit may be assessed in conjunctio</w:t>
      </w:r>
      <w:r w:rsidRPr="0089416F">
        <w:t>n with:</w:t>
      </w:r>
    </w:p>
    <w:p w:rsidR="00000000" w:rsidRPr="0089416F" w:rsidP="0089416F">
      <w:pPr>
        <w:pStyle w:val="BodyText"/>
      </w:pPr>
      <w:r w:rsidRPr="0089416F">
        <w:t>PMCSUP280A Manage conflict at work</w:t>
      </w:r>
    </w:p>
    <w:p w:rsidR="00000000" w:rsidRPr="0089416F" w:rsidP="0089416F">
      <w:pPr>
        <w:pStyle w:val="BodyText"/>
      </w:pPr>
      <w:r w:rsidRPr="0089416F">
        <w:t>PMCSUP281A Deliver customer service.</w:t>
      </w:r>
    </w:p>
    <w:p w:rsidR="00000000" w:rsidRPr="0089416F" w:rsidP="0089416F">
      <w:pPr>
        <w:pStyle w:val="BodyText"/>
      </w:pPr>
      <w:r w:rsidRPr="0089416F">
        <w:t>Individual enterprises may choose to add prerequisites and corequisites relevant to their processes.</w:t>
      </w:r>
    </w:p>
    <w:p w:rsidR="00000000" w:rsidRPr="0089416F" w:rsidP="0089416F">
      <w:pPr>
        <w:pStyle w:val="BodyText"/>
      </w:pPr>
      <w:r w:rsidRPr="0089416F">
        <w:rPr>
          <w:rStyle w:val="SpecialBold"/>
        </w:rPr>
        <w:t>Essential knowledge</w:t>
      </w:r>
    </w:p>
    <w:p w:rsidR="00000000" w:rsidRPr="0089416F" w:rsidP="0089416F">
      <w:pPr>
        <w:pStyle w:val="BodyText"/>
      </w:pPr>
      <w:r w:rsidRPr="0089416F">
        <w:t>Knowledge and understanding of the equipment sufficient</w:t>
      </w:r>
      <w:r w:rsidRPr="0089416F">
        <w:t xml:space="preserve"> to recognise problems and the appropriate action to be taken.</w:t>
      </w:r>
    </w:p>
    <w:p w:rsidR="00000000" w:rsidRPr="0089416F" w:rsidP="0089416F">
      <w:pPr>
        <w:pStyle w:val="BodyText"/>
      </w:pPr>
      <w:r w:rsidRPr="0089416F">
        <w:t xml:space="preserve">Knowledge of the enterprise's </w:t>
      </w:r>
      <w:r w:rsidRPr="0089416F">
        <w:rPr>
          <w:rStyle w:val="SpecialBold"/>
        </w:rPr>
        <w:t>procedures</w:t>
      </w:r>
      <w:r w:rsidRPr="0089416F">
        <w:t xml:space="preserve"> and relevant regulatory requirements along with the ability to implement them within appropriate time constraints and in a manner relevant to the operat</w:t>
      </w:r>
      <w:r w:rsidRPr="0089416F">
        <w:t xml:space="preserve">ion of the equipment. </w:t>
      </w:r>
    </w:p>
    <w:p w:rsidR="00000000" w:rsidRPr="0089416F" w:rsidP="0089416F">
      <w:pPr>
        <w:pStyle w:val="BodyText"/>
      </w:pPr>
      <w:r w:rsidRPr="0089416F">
        <w:t>Competence includes the ability to:</w:t>
      </w:r>
    </w:p>
    <w:p w:rsidR="00000000" w:rsidRPr="0089416F" w:rsidP="0089416F">
      <w:pPr>
        <w:pStyle w:val="BodyText"/>
      </w:pPr>
      <w:r w:rsidRPr="0089416F">
        <w:t xml:space="preserve">apply and/or describe:   </w:t>
      </w:r>
    </w:p>
    <w:p w:rsidR="00000000" w:rsidRPr="0089416F" w:rsidP="0089416F">
      <w:pPr>
        <w:pStyle w:val="BodyText"/>
      </w:pPr>
      <w:r w:rsidRPr="0089416F">
        <w:t>relationship between mixing time/water cement ratio and product quality</w:t>
      </w:r>
    </w:p>
    <w:p w:rsidR="00000000" w:rsidRPr="0089416F" w:rsidP="0089416F">
      <w:pPr>
        <w:pStyle w:val="BodyText"/>
      </w:pPr>
      <w:r w:rsidRPr="0089416F">
        <w:t>importance of slump</w:t>
      </w:r>
    </w:p>
    <w:p w:rsidR="00000000" w:rsidRPr="0089416F" w:rsidP="0089416F">
      <w:pPr>
        <w:pStyle w:val="BodyText"/>
      </w:pPr>
      <w:r w:rsidRPr="0089416F">
        <w:t>quality procedures</w:t>
      </w:r>
    </w:p>
    <w:p w:rsidR="00000000" w:rsidRPr="0089416F" w:rsidP="0089416F">
      <w:pPr>
        <w:pStyle w:val="BodyText"/>
      </w:pPr>
      <w:r w:rsidRPr="0089416F">
        <w:t>handling techniques to maintain quality</w:t>
      </w:r>
    </w:p>
    <w:p w:rsidR="00000000" w:rsidRPr="0089416F" w:rsidP="0089416F">
      <w:pPr>
        <w:pStyle w:val="BodyText"/>
      </w:pPr>
    </w:p>
    <w:p w:rsidR="00000000" w:rsidRPr="0089416F" w:rsidP="0089416F">
      <w:pPr>
        <w:pStyle w:val="BodyText"/>
      </w:pPr>
      <w:r w:rsidRPr="0089416F">
        <w:t>communicate with cu</w:t>
      </w:r>
      <w:r w:rsidRPr="0089416F">
        <w:t xml:space="preserve">stomers  </w:t>
      </w:r>
    </w:p>
    <w:p w:rsidR="00000000" w:rsidRPr="0089416F" w:rsidP="0089416F">
      <w:pPr>
        <w:pStyle w:val="BodyText"/>
      </w:pPr>
      <w:r w:rsidRPr="0089416F">
        <w:t>determine, and meet customer requirements</w:t>
      </w:r>
    </w:p>
    <w:p w:rsidR="00000000" w:rsidRPr="0089416F" w:rsidP="0089416F">
      <w:pPr>
        <w:pStyle w:val="BodyText"/>
      </w:pPr>
      <w:r w:rsidRPr="0089416F">
        <w:t>as is relevant to the practical operation of the equipment.</w:t>
      </w:r>
    </w:p>
    <w:p w:rsidR="00000000" w:rsidRPr="0089416F" w:rsidP="0089416F">
      <w:pPr>
        <w:pStyle w:val="BodyText"/>
      </w:pPr>
      <w:r w:rsidRPr="0089416F">
        <w:rPr>
          <w:rStyle w:val="SpecialBold"/>
        </w:rPr>
        <w:t>Key competencies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B4487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RPr="0089416F" w:rsidP="0089416F">
            <w:pPr>
              <w:pStyle w:val="BodyText"/>
            </w:pPr>
            <w:r w:rsidRPr="0089416F">
              <w:rPr>
                <w:rStyle w:val="SpecialBold"/>
              </w:rPr>
              <w:t>1</w:t>
            </w:r>
          </w:p>
        </w:tc>
        <w:tc>
          <w:tcPr>
            <w:tcW w:w="1285" w:type="dxa"/>
            <w:tcBorders>
              <w:top w:val="nil"/>
              <w:left w:val="nil"/>
              <w:bottom w:val="nil"/>
              <w:right w:val="nil"/>
            </w:tcBorders>
            <w:tcMar>
              <w:top w:w="0" w:type="dxa"/>
              <w:left w:w="62" w:type="dxa"/>
              <w:bottom w:w="0" w:type="dxa"/>
              <w:right w:w="62" w:type="dxa"/>
            </w:tcMar>
          </w:tcPr>
          <w:p w:rsidR="00000000" w:rsidRPr="0089416F" w:rsidP="0089416F">
            <w:pPr>
              <w:pStyle w:val="BodyText"/>
            </w:pPr>
            <w:r w:rsidRPr="0089416F">
              <w:rPr>
                <w:rStyle w:val="SpecialBold"/>
              </w:rPr>
              <w:t>2</w:t>
            </w:r>
          </w:p>
        </w:tc>
        <w:tc>
          <w:tcPr>
            <w:tcW w:w="1285" w:type="dxa"/>
            <w:tcBorders>
              <w:top w:val="nil"/>
              <w:left w:val="nil"/>
              <w:bottom w:val="nil"/>
              <w:right w:val="nil"/>
            </w:tcBorders>
            <w:tcMar>
              <w:top w:w="0" w:type="dxa"/>
              <w:left w:w="62" w:type="dxa"/>
              <w:bottom w:w="0" w:type="dxa"/>
              <w:right w:w="62" w:type="dxa"/>
            </w:tcMar>
          </w:tcPr>
          <w:p w:rsidR="00000000" w:rsidRPr="0089416F" w:rsidP="0089416F">
            <w:pPr>
              <w:pStyle w:val="BodyText"/>
            </w:pPr>
            <w:r w:rsidRPr="0089416F">
              <w:rPr>
                <w:rStyle w:val="SpecialBold"/>
              </w:rPr>
              <w:t>3</w:t>
            </w:r>
          </w:p>
        </w:tc>
        <w:tc>
          <w:tcPr>
            <w:tcW w:w="1285" w:type="dxa"/>
            <w:tcBorders>
              <w:top w:val="nil"/>
              <w:left w:val="nil"/>
              <w:bottom w:val="nil"/>
              <w:right w:val="nil"/>
            </w:tcBorders>
            <w:tcMar>
              <w:top w:w="0" w:type="dxa"/>
              <w:left w:w="62" w:type="dxa"/>
              <w:bottom w:w="0" w:type="dxa"/>
              <w:right w:w="62" w:type="dxa"/>
            </w:tcMar>
          </w:tcPr>
          <w:p w:rsidR="00000000" w:rsidRPr="0089416F" w:rsidP="0089416F">
            <w:pPr>
              <w:pStyle w:val="BodyText"/>
            </w:pPr>
            <w:r w:rsidRPr="0089416F">
              <w:rPr>
                <w:rStyle w:val="SpecialBold"/>
              </w:rPr>
              <w:t>4</w:t>
            </w:r>
          </w:p>
        </w:tc>
        <w:tc>
          <w:tcPr>
            <w:tcW w:w="1285" w:type="dxa"/>
            <w:tcBorders>
              <w:top w:val="nil"/>
              <w:left w:val="nil"/>
              <w:bottom w:val="nil"/>
              <w:right w:val="nil"/>
            </w:tcBorders>
            <w:tcMar>
              <w:top w:w="0" w:type="dxa"/>
              <w:left w:w="62" w:type="dxa"/>
              <w:bottom w:w="0" w:type="dxa"/>
              <w:right w:w="62" w:type="dxa"/>
            </w:tcMar>
          </w:tcPr>
          <w:p w:rsidR="00000000" w:rsidRPr="0089416F" w:rsidP="0089416F">
            <w:pPr>
              <w:pStyle w:val="BodyText"/>
            </w:pPr>
            <w:r w:rsidRPr="0089416F">
              <w:rPr>
                <w:rStyle w:val="SpecialBold"/>
              </w:rPr>
              <w:t>5</w:t>
            </w:r>
          </w:p>
        </w:tc>
        <w:tc>
          <w:tcPr>
            <w:tcW w:w="1285" w:type="dxa"/>
            <w:tcBorders>
              <w:top w:val="nil"/>
              <w:left w:val="nil"/>
              <w:bottom w:val="nil"/>
              <w:right w:val="nil"/>
            </w:tcBorders>
            <w:tcMar>
              <w:top w:w="0" w:type="dxa"/>
              <w:left w:w="62" w:type="dxa"/>
              <w:bottom w:w="0" w:type="dxa"/>
              <w:right w:w="62" w:type="dxa"/>
            </w:tcMar>
          </w:tcPr>
          <w:p w:rsidR="00000000" w:rsidRPr="0089416F" w:rsidP="0089416F">
            <w:pPr>
              <w:pStyle w:val="BodyText"/>
            </w:pPr>
            <w:r w:rsidRPr="0089416F">
              <w:rPr>
                <w:rStyle w:val="SpecialBold"/>
              </w:rPr>
              <w:t>6</w:t>
            </w:r>
          </w:p>
        </w:tc>
        <w:tc>
          <w:tcPr>
            <w:tcW w:w="1285"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rPr>
                <w:rStyle w:val="SpecialBold"/>
              </w:rPr>
              <w:t>7</w:t>
            </w:r>
          </w:p>
        </w:tc>
      </w:tr>
      <w:tr w:rsidTr="00B4487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 xml:space="preserve">Communicate ideas and information </w:t>
            </w:r>
          </w:p>
        </w:tc>
        <w:tc>
          <w:tcPr>
            <w:tcW w:w="1285"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 xml:space="preserve">Plan and organise activities </w:t>
            </w:r>
          </w:p>
        </w:tc>
        <w:tc>
          <w:tcPr>
            <w:tcW w:w="1285"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 xml:space="preserve">Use mathematical ideas and techniques </w:t>
            </w:r>
          </w:p>
        </w:tc>
        <w:tc>
          <w:tcPr>
            <w:tcW w:w="1285"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 xml:space="preserve">Use technology </w:t>
            </w:r>
          </w:p>
        </w:tc>
      </w:tr>
      <w:tr w:rsidTr="00B4487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 xml:space="preserve">2 </w:t>
            </w:r>
          </w:p>
        </w:tc>
        <w:tc>
          <w:tcPr>
            <w:tcW w:w="1285"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 xml:space="preserve">1 </w:t>
            </w:r>
          </w:p>
        </w:tc>
        <w:tc>
          <w:tcPr>
            <w:tcW w:w="1285"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 xml:space="preserve">X </w:t>
            </w:r>
          </w:p>
        </w:tc>
        <w:tc>
          <w:tcPr>
            <w:tcW w:w="1285"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 xml:space="preserve">1 </w:t>
            </w:r>
          </w:p>
        </w:tc>
        <w:tc>
          <w:tcPr>
            <w:tcW w:w="1285"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 xml:space="preserve">1 </w:t>
            </w:r>
          </w:p>
        </w:tc>
        <w:tc>
          <w:tcPr>
            <w:tcW w:w="1285" w:type="dxa"/>
            <w:tcBorders>
              <w:top w:val="nil"/>
              <w:left w:val="nil"/>
              <w:bottom w:val="nil"/>
              <w:right w:val="nil"/>
            </w:tcBorders>
            <w:tcMar>
              <w:top w:w="0" w:type="dxa"/>
              <w:left w:w="62" w:type="dxa"/>
              <w:bottom w:w="0" w:type="dxa"/>
              <w:right w:w="62" w:type="dxa"/>
            </w:tcMar>
          </w:tcPr>
          <w:p w:rsidR="00000000" w:rsidP="0089416F">
            <w:pPr>
              <w:pStyle w:val="BodyText"/>
              <w:rPr>
                <w:lang w:val="en-NZ"/>
              </w:rPr>
            </w:pPr>
            <w:r w:rsidRPr="0089416F">
              <w:t xml:space="preserve">1 </w:t>
            </w:r>
          </w:p>
        </w:tc>
        <w:tc>
          <w:tcPr>
            <w:tcW w:w="1285" w:type="dxa"/>
            <w:tcBorders>
              <w:top w:val="nil"/>
              <w:left w:val="nil"/>
              <w:bottom w:val="nil"/>
              <w:right w:val="nil"/>
            </w:tcBorders>
            <w:tcMar>
              <w:top w:w="0" w:type="dxa"/>
              <w:left w:w="62" w:type="dxa"/>
              <w:bottom w:w="0" w:type="dxa"/>
              <w:right w:w="62" w:type="dxa"/>
            </w:tcMar>
          </w:tcPr>
          <w:p w:rsidR="00000000" w:rsidRPr="0089416F" w:rsidP="0089416F">
            <w:pPr>
              <w:pStyle w:val="BodyText"/>
            </w:pPr>
            <w:r w:rsidRPr="0089416F">
              <w:t xml:space="preserve">1 </w:t>
            </w:r>
          </w:p>
        </w:tc>
      </w:tr>
    </w:tbl>
    <w:p w:rsidR="00000000" w:rsidRPr="0089416F" w:rsidP="0089416F">
      <w:pPr>
        <w:pStyle w:val="BodyText"/>
      </w:pPr>
    </w:p>
    <w:p w:rsidR="00000000" w:rsidRPr="0089416F" w:rsidP="0089416F">
      <w:pPr>
        <w:pStyle w:val="AllowPageBreak"/>
      </w:pPr>
    </w:p>
    <w:p w:rsidR="00000000" w:rsidRPr="0089416F" w:rsidP="0089416F">
      <w:pPr>
        <w:pStyle w:val="Heading1"/>
      </w:pPr>
      <w:bookmarkStart w:id="11" w:name="O_312059"/>
      <w:bookmarkEnd w:id="11"/>
      <w:r w:rsidRPr="0089416F">
        <w:t>Range Statement</w:t>
      </w:r>
    </w:p>
    <w:p w:rsidR="00000000" w:rsidRPr="0089416F" w:rsidP="0089416F">
      <w:pPr>
        <w:pStyle w:val="BodyText"/>
      </w:pPr>
      <w:r w:rsidRPr="0089416F">
        <w:rPr>
          <w:rStyle w:val="SpecialBold"/>
        </w:rPr>
        <w:t>Range of variables</w:t>
      </w:r>
    </w:p>
    <w:p w:rsidR="00000000" w:rsidRPr="0089416F" w:rsidP="0089416F">
      <w:pPr>
        <w:pStyle w:val="BodyText"/>
      </w:pPr>
      <w:r w:rsidRPr="0089416F">
        <w:rPr>
          <w:rStyle w:val="SpecialBold"/>
        </w:rPr>
        <w:t>Context</w:t>
      </w:r>
    </w:p>
    <w:p w:rsidR="00000000" w:rsidRPr="0089416F" w:rsidP="0089416F">
      <w:pPr>
        <w:pStyle w:val="BodyText"/>
      </w:pPr>
      <w:r w:rsidRPr="0089416F">
        <w:t>This competency unit includes:</w:t>
      </w:r>
    </w:p>
    <w:p w:rsidR="00000000" w:rsidRPr="0089416F" w:rsidP="0089416F">
      <w:pPr>
        <w:pStyle w:val="BodyText"/>
      </w:pPr>
      <w:r w:rsidRPr="0089416F">
        <w:t>determining and adding the correct amount of water taking into account required specification and moisture/water already in the mix</w:t>
      </w:r>
    </w:p>
    <w:p w:rsidR="00000000" w:rsidRPr="0089416F" w:rsidP="0089416F">
      <w:pPr>
        <w:pStyle w:val="BodyText"/>
      </w:pPr>
      <w:r w:rsidRPr="0089416F">
        <w:t>measurement of slump or similar tests</w:t>
      </w:r>
    </w:p>
    <w:p w:rsidR="00000000" w:rsidRPr="0089416F" w:rsidP="0089416F">
      <w:pPr>
        <w:pStyle w:val="BodyText"/>
      </w:pPr>
      <w:r w:rsidRPr="0089416F">
        <w:t>customer service and product knowledge</w:t>
      </w:r>
    </w:p>
    <w:p w:rsidR="00000000" w:rsidRPr="0089416F" w:rsidP="0089416F">
      <w:pPr>
        <w:pStyle w:val="BodyText"/>
      </w:pPr>
      <w:r w:rsidRPr="0089416F">
        <w:t>knowledge of relevant road rules and waste disp</w:t>
      </w:r>
      <w:r w:rsidRPr="0089416F">
        <w:t>osal requirements.</w:t>
      </w:r>
    </w:p>
    <w:p w:rsidR="00000000" w:rsidRPr="0089416F" w:rsidP="0089416F">
      <w:pPr>
        <w:pStyle w:val="BodyText"/>
      </w:pPr>
      <w:r w:rsidRPr="0089416F">
        <w:t>It does NOT include the driving of the truck (which is a prerequisite).</w:t>
      </w:r>
    </w:p>
    <w:p w:rsidR="00000000" w:rsidRPr="0089416F" w:rsidP="0089416F">
      <w:pPr>
        <w:pStyle w:val="BodyText"/>
      </w:pPr>
      <w:r w:rsidRPr="0089416F">
        <w:t>Typical problems include:</w:t>
      </w:r>
    </w:p>
    <w:p w:rsidR="00000000" w:rsidRPr="0089416F" w:rsidP="0089416F">
      <w:pPr>
        <w:pStyle w:val="BodyText"/>
      </w:pPr>
      <w:r w:rsidRPr="0089416F">
        <w:t>sites with poor access/unstable soil</w:t>
      </w:r>
    </w:p>
    <w:p w:rsidR="00000000" w:rsidRPr="0089416F" w:rsidP="0089416F">
      <w:pPr>
        <w:pStyle w:val="BodyText"/>
      </w:pPr>
      <w:r w:rsidRPr="0089416F">
        <w:t>transportation/site delays</w:t>
      </w:r>
    </w:p>
    <w:p w:rsidR="00000000" w:rsidRPr="0089416F" w:rsidP="0089416F">
      <w:pPr>
        <w:pStyle w:val="BodyText"/>
      </w:pPr>
      <w:r w:rsidRPr="0089416F">
        <w:t>site conflicts</w:t>
      </w:r>
    </w:p>
    <w:p w:rsidR="00000000" w:rsidRPr="0089416F" w:rsidP="0089416F">
      <w:pPr>
        <w:pStyle w:val="BodyText"/>
      </w:pPr>
      <w:r w:rsidRPr="0089416F">
        <w:t>disposal of agitator washings.</w:t>
      </w:r>
    </w:p>
    <w:p w:rsidR="00000000" w:rsidRPr="0089416F" w:rsidP="0089416F">
      <w:pPr>
        <w:pStyle w:val="BodyText"/>
      </w:pPr>
      <w:r w:rsidRPr="0089416F">
        <w:t xml:space="preserve">This competency includes the </w:t>
      </w:r>
      <w:r w:rsidRPr="0089416F">
        <w:t>operation of all ancillary equipment and the operation of plant using PLCs where appropriate.</w:t>
      </w:r>
    </w:p>
    <w:p w:rsidR="00000000" w:rsidRPr="0089416F" w:rsidP="0089416F">
      <w:pPr>
        <w:pStyle w:val="BodyText"/>
      </w:pPr>
      <w:r w:rsidRPr="0089416F">
        <w:t>All operations are performed in accordance with standard procedures and work instructions.</w:t>
      </w:r>
    </w:p>
    <w:p w:rsidR="00000000" w:rsidRPr="0089416F" w:rsidP="0089416F">
      <w:pPr>
        <w:pStyle w:val="AllowPageBreak"/>
      </w:pPr>
    </w:p>
    <w:p w:rsidR="00000000" w:rsidRPr="0089416F" w:rsidP="0089416F">
      <w:pPr>
        <w:pStyle w:val="Heading1"/>
      </w:pPr>
      <w:bookmarkStart w:id="12" w:name="O_312058"/>
      <w:bookmarkEnd w:id="12"/>
      <w:r w:rsidRPr="0089416F">
        <w:t>Unit Sector(s)</w:t>
      </w:r>
    </w:p>
    <w:p w:rsidR="00000000" w:rsidRPr="0089416F" w:rsidP="0089416F"/>
    <w:sectPr w:rsidSect="008941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876" w:rsidP="00B448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76" w:rsidP="008941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44876" w:rsidP="008941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44876" w:rsidP="008941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876" w:rsidP="00B448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76" w:rsidP="0089416F">
    <w:pPr>
      <w:pStyle w:val="Header"/>
      <w:framePr w:wrap="around"/>
    </w:pPr>
    <w:r>
      <w:fldChar w:fldCharType="begin"/>
    </w:r>
    <w:r>
      <w:instrText xml:space="preserve"> TITLE   \* MERGEFORMAT </w:instrText>
    </w:r>
    <w:r>
      <w:fldChar w:fldCharType="separate"/>
    </w:r>
    <w:r>
      <w:t>PMCOPS261B Deliver concrete to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4876" w:rsidP="008941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1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416F"/>
    <w:pPr>
      <w:spacing w:before="360" w:after="60"/>
      <w:outlineLvl w:val="0"/>
    </w:pPr>
    <w:rPr>
      <w:sz w:val="32"/>
    </w:rPr>
  </w:style>
  <w:style w:type="paragraph" w:styleId="Heading2">
    <w:name w:val="heading 2"/>
    <w:basedOn w:val="HeadingBase"/>
    <w:next w:val="BodyText"/>
    <w:link w:val="Heading2Char"/>
    <w:qFormat/>
    <w:rsid w:val="0089416F"/>
    <w:pPr>
      <w:keepLines/>
      <w:spacing w:before="240" w:after="120"/>
      <w:outlineLvl w:val="1"/>
    </w:pPr>
    <w:rPr>
      <w:sz w:val="28"/>
      <w:szCs w:val="40"/>
    </w:rPr>
  </w:style>
  <w:style w:type="paragraph" w:styleId="Heading3">
    <w:name w:val="heading 3"/>
    <w:basedOn w:val="HeadingBase"/>
    <w:next w:val="BodyText"/>
    <w:link w:val="Heading3Char"/>
    <w:qFormat/>
    <w:rsid w:val="0089416F"/>
    <w:pPr>
      <w:spacing w:before="180" w:after="120"/>
      <w:outlineLvl w:val="2"/>
    </w:pPr>
    <w:rPr>
      <w:spacing w:val="-10"/>
      <w:kern w:val="32"/>
    </w:rPr>
  </w:style>
  <w:style w:type="paragraph" w:styleId="Heading4">
    <w:name w:val="heading 4"/>
    <w:basedOn w:val="HeadingBase"/>
    <w:next w:val="BodyText"/>
    <w:link w:val="Heading4Char"/>
    <w:qFormat/>
    <w:rsid w:val="0089416F"/>
    <w:pPr>
      <w:spacing w:before="160" w:after="120"/>
      <w:outlineLvl w:val="3"/>
    </w:pPr>
    <w:rPr>
      <w:sz w:val="22"/>
    </w:rPr>
  </w:style>
  <w:style w:type="paragraph" w:styleId="Heading5">
    <w:name w:val="heading 5"/>
    <w:basedOn w:val="HeadingBase"/>
    <w:next w:val="Normal"/>
    <w:link w:val="Heading5Char"/>
    <w:qFormat/>
    <w:rsid w:val="0089416F"/>
    <w:pPr>
      <w:spacing w:before="80"/>
      <w:outlineLvl w:val="4"/>
    </w:pPr>
    <w:rPr>
      <w:color w:val="918585"/>
      <w:sz w:val="20"/>
    </w:rPr>
  </w:style>
  <w:style w:type="paragraph" w:styleId="Heading6">
    <w:name w:val="heading 6"/>
    <w:basedOn w:val="HeadingBase"/>
    <w:next w:val="Normal"/>
    <w:link w:val="Heading6Char"/>
    <w:qFormat/>
    <w:rsid w:val="0089416F"/>
    <w:pPr>
      <w:spacing w:before="60"/>
      <w:outlineLvl w:val="5"/>
    </w:pPr>
    <w:rPr>
      <w:color w:val="918585"/>
      <w:sz w:val="20"/>
    </w:rPr>
  </w:style>
  <w:style w:type="paragraph" w:styleId="Heading7">
    <w:name w:val="heading 7"/>
    <w:basedOn w:val="Normal"/>
    <w:next w:val="Normal"/>
    <w:link w:val="Heading7Char"/>
    <w:qFormat/>
    <w:rsid w:val="0089416F"/>
    <w:pPr>
      <w:ind w:left="720"/>
      <w:outlineLvl w:val="6"/>
    </w:pPr>
    <w:rPr>
      <w:i/>
    </w:rPr>
  </w:style>
  <w:style w:type="paragraph" w:styleId="Heading8">
    <w:name w:val="heading 8"/>
    <w:basedOn w:val="Normal"/>
    <w:next w:val="Normal"/>
    <w:link w:val="Heading8Char"/>
    <w:qFormat/>
    <w:rsid w:val="0089416F"/>
    <w:pPr>
      <w:ind w:left="720"/>
      <w:outlineLvl w:val="7"/>
    </w:pPr>
    <w:rPr>
      <w:i/>
    </w:rPr>
  </w:style>
  <w:style w:type="paragraph" w:styleId="Heading9">
    <w:name w:val="heading 9"/>
    <w:basedOn w:val="Normal"/>
    <w:next w:val="Normal"/>
    <w:link w:val="Heading9Char"/>
    <w:qFormat/>
    <w:rsid w:val="0089416F"/>
    <w:pPr>
      <w:ind w:left="720"/>
      <w:outlineLvl w:val="8"/>
    </w:pPr>
    <w:rPr>
      <w:i/>
    </w:rPr>
  </w:style>
  <w:style w:type="character" w:default="1" w:styleId="DefaultParagraphFont">
    <w:name w:val="Default Paragraph Font"/>
    <w:uiPriority w:val="1"/>
    <w:unhideWhenUsed/>
    <w:rsid w:val="008941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16F"/>
  </w:style>
  <w:style w:type="character" w:customStyle="1" w:styleId="Heading1Char">
    <w:name w:val="Heading 1 Char"/>
    <w:basedOn w:val="DefaultParagraphFont"/>
    <w:link w:val="Heading1"/>
    <w:rsid w:val="0089416F"/>
    <w:rPr>
      <w:rFonts w:ascii="Times New Roman" w:eastAsia="Times New Roman" w:hAnsi="Times New Roman" w:cs="Times New Roman"/>
      <w:b/>
      <w:sz w:val="32"/>
      <w:szCs w:val="20"/>
      <w:lang w:eastAsia="en-US"/>
    </w:rPr>
  </w:style>
  <w:style w:type="paragraph" w:styleId="BodyText">
    <w:name w:val="Body Text"/>
    <w:basedOn w:val="Normal"/>
    <w:link w:val="BodyTextChar"/>
    <w:rsid w:val="008941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416F"/>
    <w:rPr>
      <w:rFonts w:ascii="Times New Roman" w:eastAsia="Times New Roman" w:hAnsi="Times New Roman" w:cs="Times New Roman"/>
      <w:sz w:val="24"/>
      <w:lang w:val="en-US" w:eastAsia="en-US"/>
    </w:rPr>
  </w:style>
  <w:style w:type="paragraph" w:styleId="Footer">
    <w:name w:val="footer"/>
    <w:basedOn w:val="Normal"/>
    <w:link w:val="FooterChar"/>
    <w:rsid w:val="008941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16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9416F"/>
    <w:rPr>
      <w:b/>
      <w:spacing w:val="0"/>
    </w:rPr>
  </w:style>
  <w:style w:type="paragraph" w:styleId="Header">
    <w:name w:val="header"/>
    <w:basedOn w:val="Normal"/>
    <w:link w:val="HeaderChar"/>
    <w:rsid w:val="008941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1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416F"/>
    <w:pPr>
      <w:spacing w:before="240" w:after="120"/>
      <w:outlineLvl w:val="0"/>
    </w:pPr>
    <w:rPr>
      <w:rFonts w:ascii="Times New Roman" w:hAnsi="Times New Roman"/>
      <w:b/>
      <w:sz w:val="28"/>
    </w:rPr>
  </w:style>
  <w:style w:type="paragraph" w:customStyle="1" w:styleId="AllowPageBreak">
    <w:name w:val="AllowPageBreak"/>
    <w:rsid w:val="008941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41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1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1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1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1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1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41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416F"/>
    <w:rPr>
      <w:rFonts w:ascii="Courier New" w:eastAsia="Times New Roman" w:hAnsi="Courier New" w:cs="Times New Roman"/>
      <w:i/>
      <w:szCs w:val="20"/>
      <w:lang w:val="en-US" w:eastAsia="en-US"/>
    </w:rPr>
  </w:style>
  <w:style w:type="paragraph" w:customStyle="1" w:styleId="HeadingBase">
    <w:name w:val="Heading Base"/>
    <w:rsid w:val="008941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16F"/>
    <w:pPr>
      <w:tabs>
        <w:tab w:val="right" w:leader="dot" w:pos="9072"/>
      </w:tabs>
      <w:ind w:left="567"/>
    </w:pPr>
    <w:rPr>
      <w:szCs w:val="22"/>
    </w:rPr>
  </w:style>
  <w:style w:type="paragraph" w:customStyle="1" w:styleId="TOCBase">
    <w:name w:val="TOC Base"/>
    <w:rsid w:val="008941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16F"/>
    <w:pPr>
      <w:tabs>
        <w:tab w:val="right" w:leader="dot" w:pos="9072"/>
      </w:tabs>
      <w:spacing w:before="40" w:after="40"/>
      <w:ind w:left="284"/>
    </w:pPr>
    <w:rPr>
      <w:rFonts w:ascii="Times New Roman" w:hAnsi="Times New Roman"/>
    </w:rPr>
  </w:style>
  <w:style w:type="paragraph" w:styleId="TOC1">
    <w:name w:val="toc 1"/>
    <w:basedOn w:val="TOCBase"/>
    <w:next w:val="Normal"/>
    <w:rsid w:val="008941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416F"/>
    <w:pPr>
      <w:spacing w:before="5040"/>
      <w:jc w:val="center"/>
    </w:pPr>
    <w:rPr>
      <w:sz w:val="48"/>
      <w:szCs w:val="72"/>
      <w:lang w:val="en-US"/>
    </w:rPr>
  </w:style>
  <w:style w:type="character" w:customStyle="1" w:styleId="TitleChar">
    <w:name w:val="Title Char"/>
    <w:basedOn w:val="DefaultParagraphFont"/>
    <w:link w:val="Title"/>
    <w:rsid w:val="008941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16F"/>
    <w:pPr>
      <w:tabs>
        <w:tab w:val="left" w:pos="3600"/>
        <w:tab w:val="left" w:pos="3958"/>
      </w:tabs>
    </w:pPr>
  </w:style>
  <w:style w:type="paragraph" w:styleId="List">
    <w:name w:val="List"/>
    <w:basedOn w:val="BodyText"/>
    <w:next w:val="BodyText"/>
    <w:rsid w:val="0089416F"/>
    <w:pPr>
      <w:tabs>
        <w:tab w:val="left" w:pos="340"/>
      </w:tabs>
      <w:spacing w:before="60" w:after="60"/>
      <w:ind w:left="340" w:hanging="340"/>
    </w:pPr>
  </w:style>
  <w:style w:type="paragraph" w:styleId="ListBullet">
    <w:name w:val="List Bullet"/>
    <w:basedOn w:val="List"/>
    <w:rsid w:val="0089416F"/>
    <w:pPr>
      <w:numPr>
        <w:numId w:val="11"/>
      </w:numPr>
      <w:tabs>
        <w:tab w:val="clear" w:pos="340"/>
      </w:tabs>
      <w:spacing w:before="40" w:after="40"/>
    </w:pPr>
  </w:style>
  <w:style w:type="paragraph" w:customStyle="1" w:styleId="Note">
    <w:name w:val="Note"/>
    <w:basedOn w:val="BodyText"/>
    <w:rsid w:val="008941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16F"/>
    <w:pPr>
      <w:framePr w:wrap="auto" w:hAnchor="text" w:y="6049"/>
    </w:pPr>
    <w:rPr>
      <w:color w:val="000000"/>
      <w:sz w:val="40"/>
    </w:rPr>
  </w:style>
  <w:style w:type="paragraph" w:customStyle="1" w:styleId="TOCTitle">
    <w:name w:val="TOCTitle"/>
    <w:basedOn w:val="Heading1"/>
    <w:rsid w:val="0089416F"/>
    <w:pPr>
      <w:spacing w:after="240"/>
      <w:jc w:val="center"/>
      <w:outlineLvl w:val="9"/>
    </w:pPr>
    <w:rPr>
      <w:caps/>
    </w:rPr>
  </w:style>
  <w:style w:type="paragraph" w:customStyle="1" w:styleId="Version">
    <w:name w:val="Version"/>
    <w:rsid w:val="008941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416F"/>
    <w:pPr>
      <w:numPr>
        <w:numId w:val="12"/>
      </w:numPr>
      <w:tabs>
        <w:tab w:val="clear" w:pos="680"/>
      </w:tabs>
    </w:pPr>
  </w:style>
  <w:style w:type="paragraph" w:styleId="Index1">
    <w:name w:val="index 1"/>
    <w:basedOn w:val="Normal"/>
    <w:next w:val="Normal"/>
    <w:semiHidden/>
    <w:rsid w:val="0089416F"/>
    <w:pPr>
      <w:keepNext w:val="0"/>
      <w:tabs>
        <w:tab w:val="right" w:pos="4176"/>
      </w:tabs>
      <w:ind w:left="198" w:hanging="198"/>
    </w:pPr>
    <w:rPr>
      <w:rFonts w:ascii="Garamond" w:hAnsi="Garamond"/>
    </w:rPr>
  </w:style>
  <w:style w:type="paragraph" w:styleId="IndexHeading">
    <w:name w:val="index heading"/>
    <w:basedOn w:val="Normal"/>
    <w:next w:val="Index1"/>
    <w:semiHidden/>
    <w:rsid w:val="0089416F"/>
    <w:pPr>
      <w:spacing w:before="120" w:after="120"/>
    </w:pPr>
    <w:rPr>
      <w:rFonts w:ascii="Arial" w:hAnsi="Arial"/>
      <w:b/>
      <w:color w:val="918585"/>
      <w:sz w:val="24"/>
    </w:rPr>
  </w:style>
  <w:style w:type="paragraph" w:customStyle="1" w:styleId="Chapter">
    <w:name w:val="Chapter"/>
    <w:basedOn w:val="Normal"/>
    <w:rsid w:val="0089416F"/>
    <w:pPr>
      <w:spacing w:before="240"/>
    </w:pPr>
    <w:rPr>
      <w:rFonts w:ascii="Times New Roman" w:hAnsi="Times New Roman"/>
      <w:smallCaps/>
      <w:spacing w:val="80"/>
      <w:sz w:val="28"/>
    </w:rPr>
  </w:style>
  <w:style w:type="paragraph" w:customStyle="1" w:styleId="InChapter">
    <w:name w:val="InChapter"/>
    <w:basedOn w:val="Heading3"/>
    <w:rsid w:val="0089416F"/>
    <w:pPr>
      <w:spacing w:after="240"/>
      <w:outlineLvl w:val="9"/>
    </w:pPr>
    <w:rPr>
      <w:noProof/>
    </w:rPr>
  </w:style>
  <w:style w:type="paragraph" w:styleId="Index2">
    <w:name w:val="index 2"/>
    <w:basedOn w:val="Normal"/>
    <w:next w:val="Normal"/>
    <w:semiHidden/>
    <w:rsid w:val="0089416F"/>
    <w:pPr>
      <w:tabs>
        <w:tab w:val="right" w:pos="4176"/>
      </w:tabs>
      <w:ind w:left="568" w:hanging="284"/>
    </w:pPr>
    <w:rPr>
      <w:rFonts w:ascii="Garamond" w:hAnsi="Garamond"/>
    </w:rPr>
  </w:style>
  <w:style w:type="paragraph" w:customStyle="1" w:styleId="Byline">
    <w:name w:val="Byline"/>
    <w:rsid w:val="008941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16F"/>
    <w:pPr>
      <w:tabs>
        <w:tab w:val="clear" w:pos="3600"/>
        <w:tab w:val="clear" w:pos="3958"/>
      </w:tabs>
      <w:jc w:val="right"/>
    </w:pPr>
  </w:style>
  <w:style w:type="character" w:styleId="Emphasis">
    <w:name w:val="Emphasis"/>
    <w:basedOn w:val="DefaultParagraphFont"/>
    <w:qFormat/>
    <w:rsid w:val="0089416F"/>
    <w:rPr>
      <w:i/>
    </w:rPr>
  </w:style>
  <w:style w:type="paragraph" w:styleId="Caption">
    <w:name w:val="caption"/>
    <w:basedOn w:val="BodyText"/>
    <w:next w:val="Normal"/>
    <w:qFormat/>
    <w:rsid w:val="0089416F"/>
    <w:pPr>
      <w:framePr w:w="2268" w:hSpace="181" w:vSpace="181" w:wrap="around" w:vAnchor="text" w:hAnchor="page" w:x="1135" w:y="285" w:anchorLock="1"/>
    </w:pPr>
    <w:rPr>
      <w:i/>
    </w:rPr>
  </w:style>
  <w:style w:type="paragraph" w:customStyle="1" w:styleId="MiniTOCTitle">
    <w:name w:val="MiniTOCTitle"/>
    <w:basedOn w:val="Heading4"/>
    <w:rsid w:val="0089416F"/>
    <w:pPr>
      <w:spacing w:before="240"/>
      <w:outlineLvl w:val="9"/>
    </w:pPr>
    <w:rPr>
      <w:noProof/>
      <w:sz w:val="24"/>
    </w:rPr>
  </w:style>
  <w:style w:type="paragraph" w:customStyle="1" w:styleId="MiniTOCItem">
    <w:name w:val="MiniTOCItem"/>
    <w:basedOn w:val="ListBullet"/>
    <w:rsid w:val="0089416F"/>
    <w:pPr>
      <w:numPr>
        <w:numId w:val="0"/>
      </w:numPr>
      <w:tabs>
        <w:tab w:val="right" w:leader="dot" w:pos="6521"/>
      </w:tabs>
      <w:spacing w:before="0" w:after="0"/>
    </w:pPr>
  </w:style>
  <w:style w:type="paragraph" w:customStyle="1" w:styleId="TOFTitle">
    <w:name w:val="TOFTitle"/>
    <w:basedOn w:val="TOCTitle"/>
    <w:rsid w:val="0089416F"/>
  </w:style>
  <w:style w:type="paragraph" w:styleId="TableofFigures">
    <w:name w:val="table of figures"/>
    <w:basedOn w:val="Normal"/>
    <w:next w:val="Normal"/>
    <w:semiHidden/>
    <w:rsid w:val="0089416F"/>
    <w:pPr>
      <w:tabs>
        <w:tab w:val="right" w:leader="dot" w:pos="9072"/>
      </w:tabs>
      <w:ind w:left="970" w:hanging="403"/>
    </w:pPr>
    <w:rPr>
      <w:rFonts w:ascii="Times New Roman" w:hAnsi="Times New Roman"/>
      <w:b/>
    </w:rPr>
  </w:style>
  <w:style w:type="paragraph" w:styleId="ListNumber">
    <w:name w:val="List Number"/>
    <w:basedOn w:val="List"/>
    <w:rsid w:val="0089416F"/>
    <w:pPr>
      <w:numPr>
        <w:numId w:val="9"/>
      </w:numPr>
    </w:pPr>
  </w:style>
  <w:style w:type="character" w:customStyle="1" w:styleId="WingdingSymbols">
    <w:name w:val="Wingding Symbols"/>
    <w:rsid w:val="0089416F"/>
    <w:rPr>
      <w:rFonts w:ascii="Wingdings" w:hAnsi="Wingdings"/>
    </w:rPr>
  </w:style>
  <w:style w:type="paragraph" w:customStyle="1" w:styleId="TableHeading">
    <w:name w:val="Table Heading"/>
    <w:basedOn w:val="HeadingBase"/>
    <w:rsid w:val="0089416F"/>
    <w:pPr>
      <w:keepLines/>
      <w:pBdr>
        <w:bottom w:val="single" w:sz="6" w:space="1" w:color="918585"/>
      </w:pBdr>
      <w:spacing w:before="240"/>
    </w:pPr>
  </w:style>
  <w:style w:type="character" w:customStyle="1" w:styleId="HotSpot">
    <w:name w:val="HotSpot"/>
    <w:rsid w:val="0089416F"/>
    <w:rPr>
      <w:color w:val="0033CC"/>
      <w:u w:val="none"/>
    </w:rPr>
  </w:style>
  <w:style w:type="paragraph" w:customStyle="1" w:styleId="BodyTextRight">
    <w:name w:val="Body Text Right"/>
    <w:basedOn w:val="BodyText"/>
    <w:rsid w:val="0089416F"/>
    <w:pPr>
      <w:spacing w:before="0" w:after="0"/>
      <w:jc w:val="right"/>
    </w:pPr>
  </w:style>
  <w:style w:type="paragraph" w:styleId="Index3">
    <w:name w:val="index 3"/>
    <w:basedOn w:val="ListNumber2"/>
    <w:next w:val="Normal"/>
    <w:semiHidden/>
    <w:rsid w:val="0089416F"/>
    <w:pPr>
      <w:numPr>
        <w:numId w:val="0"/>
      </w:numPr>
      <w:tabs>
        <w:tab w:val="right" w:leader="dot" w:pos="4176"/>
      </w:tabs>
    </w:pPr>
  </w:style>
  <w:style w:type="paragraph" w:styleId="ListNumber2">
    <w:name w:val="List Number 2"/>
    <w:basedOn w:val="List2"/>
    <w:rsid w:val="0089416F"/>
    <w:pPr>
      <w:numPr>
        <w:numId w:val="8"/>
      </w:numPr>
      <w:tabs>
        <w:tab w:val="clear" w:pos="1060"/>
      </w:tabs>
    </w:pPr>
  </w:style>
  <w:style w:type="paragraph" w:customStyle="1" w:styleId="MarginNote">
    <w:name w:val="Margin Note"/>
    <w:basedOn w:val="BodyText"/>
    <w:rsid w:val="008941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1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1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416F"/>
    <w:rPr>
      <w:sz w:val="32"/>
    </w:rPr>
  </w:style>
  <w:style w:type="paragraph" w:customStyle="1" w:styleId="HeadingProcedure">
    <w:name w:val="Heading Procedure"/>
    <w:basedOn w:val="HeadingBase"/>
    <w:next w:val="Normal"/>
    <w:rsid w:val="0089416F"/>
    <w:pPr>
      <w:tabs>
        <w:tab w:val="left" w:pos="0"/>
      </w:tabs>
      <w:spacing w:before="120" w:after="60"/>
    </w:pPr>
    <w:rPr>
      <w:i/>
      <w:color w:val="918585"/>
      <w:sz w:val="22"/>
    </w:rPr>
  </w:style>
  <w:style w:type="paragraph" w:customStyle="1" w:styleId="TableBodyText">
    <w:name w:val="Table Body Text"/>
    <w:basedOn w:val="BodyText"/>
    <w:rsid w:val="0089416F"/>
    <w:pPr>
      <w:spacing w:before="60" w:after="60"/>
    </w:pPr>
  </w:style>
  <w:style w:type="paragraph" w:styleId="ListContinue">
    <w:name w:val="List Continue"/>
    <w:basedOn w:val="List"/>
    <w:rsid w:val="0089416F"/>
    <w:pPr>
      <w:ind w:firstLine="0"/>
    </w:pPr>
  </w:style>
  <w:style w:type="paragraph" w:customStyle="1" w:styleId="ListNote">
    <w:name w:val="List Note"/>
    <w:basedOn w:val="List"/>
    <w:rsid w:val="0089416F"/>
    <w:pPr>
      <w:pBdr>
        <w:top w:val="single" w:sz="6" w:space="2" w:color="918585"/>
        <w:bottom w:val="single" w:sz="6" w:space="2" w:color="918585"/>
      </w:pBdr>
      <w:tabs>
        <w:tab w:val="left" w:pos="1021"/>
      </w:tabs>
      <w:ind w:firstLine="0"/>
    </w:pPr>
  </w:style>
  <w:style w:type="paragraph" w:customStyle="1" w:styleId="Warning">
    <w:name w:val="Warning"/>
    <w:basedOn w:val="BodyText"/>
    <w:rsid w:val="0089416F"/>
    <w:pPr>
      <w:shd w:val="clear" w:color="auto" w:fill="D9D9D9"/>
      <w:tabs>
        <w:tab w:val="left" w:pos="992"/>
      </w:tabs>
      <w:ind w:left="119" w:right="119"/>
    </w:pPr>
    <w:rPr>
      <w:sz w:val="20"/>
    </w:rPr>
  </w:style>
  <w:style w:type="paragraph" w:customStyle="1" w:styleId="MarginIcons">
    <w:name w:val="Margin Icons"/>
    <w:basedOn w:val="BodyText"/>
    <w:rsid w:val="008941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16F"/>
    <w:rPr>
      <w:rFonts w:ascii="Courier New" w:hAnsi="Courier New"/>
    </w:rPr>
  </w:style>
  <w:style w:type="paragraph" w:customStyle="1" w:styleId="NoteBullet">
    <w:name w:val="Note Bullet"/>
    <w:basedOn w:val="Note"/>
    <w:rsid w:val="0089416F"/>
    <w:pPr>
      <w:tabs>
        <w:tab w:val="clear" w:pos="680"/>
      </w:tabs>
      <w:spacing w:before="60" w:after="60"/>
    </w:pPr>
  </w:style>
  <w:style w:type="paragraph" w:customStyle="1" w:styleId="SubHeading2">
    <w:name w:val="SubHeading2"/>
    <w:basedOn w:val="HeadingBase"/>
    <w:rsid w:val="0089416F"/>
    <w:pPr>
      <w:spacing w:before="240" w:after="60"/>
    </w:pPr>
    <w:rPr>
      <w:sz w:val="20"/>
    </w:rPr>
  </w:style>
  <w:style w:type="paragraph" w:customStyle="1" w:styleId="SubHeading1">
    <w:name w:val="SubHeading1"/>
    <w:basedOn w:val="HeadingBase"/>
    <w:rsid w:val="0089416F"/>
    <w:pPr>
      <w:spacing w:before="240" w:after="60"/>
    </w:pPr>
    <w:rPr>
      <w:color w:val="918585"/>
      <w:sz w:val="22"/>
    </w:rPr>
  </w:style>
  <w:style w:type="paragraph" w:customStyle="1" w:styleId="SideHeading">
    <w:name w:val="Side Heading"/>
    <w:basedOn w:val="HeadingBase"/>
    <w:rsid w:val="008941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16F"/>
    <w:pPr>
      <w:numPr>
        <w:numId w:val="10"/>
      </w:numPr>
    </w:pPr>
  </w:style>
  <w:style w:type="paragraph" w:styleId="PlainText">
    <w:name w:val="Plain Text"/>
    <w:basedOn w:val="Normal"/>
    <w:link w:val="PlainTextChar"/>
    <w:rsid w:val="0089416F"/>
    <w:rPr>
      <w:sz w:val="20"/>
    </w:rPr>
  </w:style>
  <w:style w:type="character" w:customStyle="1" w:styleId="PlainTextChar">
    <w:name w:val="Plain Text Char"/>
    <w:basedOn w:val="DefaultParagraphFont"/>
    <w:link w:val="PlainText"/>
    <w:rsid w:val="008941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416F"/>
    <w:rPr>
      <w:b/>
      <w:smallCaps/>
    </w:rPr>
  </w:style>
  <w:style w:type="paragraph" w:customStyle="1" w:styleId="TableListNumber">
    <w:name w:val="Table List Number"/>
    <w:basedOn w:val="ListNumber"/>
    <w:rsid w:val="0089416F"/>
    <w:pPr>
      <w:numPr>
        <w:numId w:val="0"/>
      </w:numPr>
    </w:pPr>
  </w:style>
  <w:style w:type="paragraph" w:styleId="TOC4">
    <w:name w:val="toc 4"/>
    <w:basedOn w:val="TOCBase"/>
    <w:next w:val="Normal"/>
    <w:semiHidden/>
    <w:rsid w:val="0089416F"/>
    <w:pPr>
      <w:tabs>
        <w:tab w:val="right" w:leader="dot" w:pos="9071"/>
      </w:tabs>
      <w:ind w:left="1701"/>
    </w:pPr>
  </w:style>
  <w:style w:type="paragraph" w:customStyle="1" w:styleId="ListAlpha">
    <w:name w:val="List Alpha"/>
    <w:basedOn w:val="List"/>
    <w:rsid w:val="0089416F"/>
    <w:pPr>
      <w:numPr>
        <w:numId w:val="7"/>
      </w:numPr>
    </w:pPr>
  </w:style>
  <w:style w:type="paragraph" w:customStyle="1" w:styleId="ListAlpha2">
    <w:name w:val="List Alpha 2"/>
    <w:basedOn w:val="List2"/>
    <w:rsid w:val="0089416F"/>
    <w:pPr>
      <w:numPr>
        <w:numId w:val="6"/>
      </w:numPr>
    </w:pPr>
  </w:style>
  <w:style w:type="paragraph" w:styleId="List2">
    <w:name w:val="List 2"/>
    <w:basedOn w:val="BodyText"/>
    <w:rsid w:val="0089416F"/>
    <w:pPr>
      <w:tabs>
        <w:tab w:val="left" w:pos="680"/>
      </w:tabs>
      <w:spacing w:before="60" w:after="60"/>
      <w:ind w:left="680" w:hanging="340"/>
    </w:pPr>
  </w:style>
  <w:style w:type="paragraph" w:styleId="List3">
    <w:name w:val="List 3"/>
    <w:basedOn w:val="BodyText"/>
    <w:rsid w:val="0089416F"/>
    <w:pPr>
      <w:tabs>
        <w:tab w:val="left" w:pos="1021"/>
      </w:tabs>
      <w:spacing w:before="60" w:after="60"/>
      <w:ind w:left="1020" w:hanging="340"/>
    </w:pPr>
  </w:style>
  <w:style w:type="paragraph" w:styleId="List4">
    <w:name w:val="List 4"/>
    <w:basedOn w:val="BodyText"/>
    <w:rsid w:val="0089416F"/>
    <w:pPr>
      <w:tabs>
        <w:tab w:val="left" w:pos="1361"/>
      </w:tabs>
      <w:spacing w:before="60" w:after="60"/>
      <w:ind w:left="1361" w:hanging="340"/>
    </w:pPr>
  </w:style>
  <w:style w:type="paragraph" w:styleId="List5">
    <w:name w:val="List 5"/>
    <w:basedOn w:val="BodyText"/>
    <w:rsid w:val="0089416F"/>
    <w:pPr>
      <w:tabs>
        <w:tab w:val="left" w:pos="1701"/>
      </w:tabs>
      <w:spacing w:before="60" w:after="60"/>
      <w:ind w:left="1701" w:hanging="340"/>
    </w:pPr>
  </w:style>
  <w:style w:type="paragraph" w:styleId="ListBullet3">
    <w:name w:val="List Bullet 3"/>
    <w:basedOn w:val="List3"/>
    <w:rsid w:val="0089416F"/>
    <w:pPr>
      <w:numPr>
        <w:numId w:val="13"/>
      </w:numPr>
      <w:tabs>
        <w:tab w:val="clear" w:pos="1021"/>
      </w:tabs>
      <w:ind w:left="1037" w:hanging="357"/>
    </w:pPr>
  </w:style>
  <w:style w:type="paragraph" w:styleId="ListBullet4">
    <w:name w:val="List Bullet 4"/>
    <w:basedOn w:val="List4"/>
    <w:rsid w:val="0089416F"/>
    <w:pPr>
      <w:numPr>
        <w:numId w:val="1"/>
      </w:numPr>
    </w:pPr>
  </w:style>
  <w:style w:type="paragraph" w:styleId="ListBullet5">
    <w:name w:val="List Bullet 5"/>
    <w:basedOn w:val="List5"/>
    <w:rsid w:val="0089416F"/>
    <w:pPr>
      <w:numPr>
        <w:numId w:val="2"/>
      </w:numPr>
    </w:pPr>
  </w:style>
  <w:style w:type="paragraph" w:styleId="ListContinue2">
    <w:name w:val="List Continue 2"/>
    <w:basedOn w:val="List2"/>
    <w:rsid w:val="0089416F"/>
    <w:pPr>
      <w:ind w:firstLine="0"/>
    </w:pPr>
  </w:style>
  <w:style w:type="paragraph" w:styleId="ListContinue3">
    <w:name w:val="List Continue 3"/>
    <w:basedOn w:val="List3"/>
    <w:rsid w:val="0089416F"/>
    <w:pPr>
      <w:ind w:left="1021" w:firstLine="0"/>
    </w:pPr>
  </w:style>
  <w:style w:type="paragraph" w:styleId="ListContinue4">
    <w:name w:val="List Continue 4"/>
    <w:basedOn w:val="List4"/>
    <w:rsid w:val="0089416F"/>
    <w:pPr>
      <w:ind w:firstLine="0"/>
    </w:pPr>
  </w:style>
  <w:style w:type="paragraph" w:styleId="ListContinue5">
    <w:name w:val="List Continue 5"/>
    <w:basedOn w:val="List5"/>
    <w:rsid w:val="0089416F"/>
    <w:pPr>
      <w:ind w:firstLine="0"/>
    </w:pPr>
  </w:style>
  <w:style w:type="paragraph" w:styleId="ListNumber3">
    <w:name w:val="List Number 3"/>
    <w:basedOn w:val="List3"/>
    <w:rsid w:val="0089416F"/>
    <w:pPr>
      <w:numPr>
        <w:numId w:val="3"/>
      </w:numPr>
    </w:pPr>
  </w:style>
  <w:style w:type="paragraph" w:styleId="ListNumber4">
    <w:name w:val="List Number 4"/>
    <w:basedOn w:val="List4"/>
    <w:rsid w:val="0089416F"/>
    <w:pPr>
      <w:numPr>
        <w:numId w:val="4"/>
      </w:numPr>
    </w:pPr>
  </w:style>
  <w:style w:type="paragraph" w:styleId="ListNumber5">
    <w:name w:val="List Number 5"/>
    <w:basedOn w:val="List5"/>
    <w:rsid w:val="0089416F"/>
    <w:pPr>
      <w:numPr>
        <w:numId w:val="5"/>
      </w:numPr>
    </w:pPr>
  </w:style>
  <w:style w:type="paragraph" w:styleId="BlockText">
    <w:name w:val="Block Text"/>
    <w:basedOn w:val="Normal"/>
    <w:rsid w:val="0089416F"/>
    <w:pPr>
      <w:spacing w:after="120"/>
      <w:ind w:left="1440" w:right="1440"/>
    </w:pPr>
  </w:style>
  <w:style w:type="character" w:customStyle="1" w:styleId="Subscript">
    <w:name w:val="Subscript"/>
    <w:basedOn w:val="DefaultParagraphFont"/>
    <w:rsid w:val="0089416F"/>
    <w:rPr>
      <w:sz w:val="16"/>
      <w:vertAlign w:val="subscript"/>
    </w:rPr>
  </w:style>
  <w:style w:type="character" w:customStyle="1" w:styleId="Superscript">
    <w:name w:val="Superscript"/>
    <w:basedOn w:val="DefaultParagraphFont"/>
    <w:rsid w:val="0089416F"/>
    <w:rPr>
      <w:sz w:val="16"/>
      <w:vertAlign w:val="superscript"/>
    </w:rPr>
  </w:style>
  <w:style w:type="character" w:customStyle="1" w:styleId="Symbols">
    <w:name w:val="Symbols"/>
    <w:basedOn w:val="DefaultParagraphFont"/>
    <w:rsid w:val="0089416F"/>
    <w:rPr>
      <w:rFonts w:ascii="Symbol" w:hAnsi="Symbol"/>
    </w:rPr>
  </w:style>
  <w:style w:type="character" w:customStyle="1" w:styleId="MenuOptions">
    <w:name w:val="Menu Options"/>
    <w:basedOn w:val="DefaultParagraphFont"/>
    <w:rsid w:val="0089416F"/>
    <w:rPr>
      <w:rFonts w:ascii="Arial Narrow" w:hAnsi="Arial Narrow"/>
      <w:smallCaps/>
    </w:rPr>
  </w:style>
  <w:style w:type="character" w:customStyle="1" w:styleId="Buttons">
    <w:name w:val="Buttons"/>
    <w:basedOn w:val="DefaultParagraphFont"/>
    <w:rsid w:val="0089416F"/>
    <w:rPr>
      <w:b/>
    </w:rPr>
  </w:style>
  <w:style w:type="character" w:customStyle="1" w:styleId="Underlined">
    <w:name w:val="Underlined"/>
    <w:basedOn w:val="DefaultParagraphFont"/>
    <w:rsid w:val="0089416F"/>
    <w:rPr>
      <w:u w:val="single"/>
    </w:rPr>
  </w:style>
  <w:style w:type="paragraph" w:customStyle="1" w:styleId="TableBodyTextRight">
    <w:name w:val="Table Body Text Right"/>
    <w:basedOn w:val="TableBodyText"/>
    <w:rsid w:val="0089416F"/>
    <w:pPr>
      <w:widowControl w:val="0"/>
      <w:autoSpaceDE w:val="0"/>
      <w:autoSpaceDN w:val="0"/>
      <w:adjustRightInd w:val="0"/>
      <w:jc w:val="right"/>
    </w:pPr>
    <w:rPr>
      <w:rFonts w:cs="Arial"/>
      <w:szCs w:val="18"/>
    </w:rPr>
  </w:style>
  <w:style w:type="paragraph" w:customStyle="1" w:styleId="CopyrightText">
    <w:name w:val="Copyright Text"/>
    <w:basedOn w:val="BodyText"/>
    <w:rsid w:val="0089416F"/>
    <w:rPr>
      <w:sz w:val="18"/>
    </w:rPr>
  </w:style>
  <w:style w:type="paragraph" w:customStyle="1" w:styleId="BodySmallRight">
    <w:name w:val="Body Small Right"/>
    <w:basedOn w:val="BodyTextRight"/>
    <w:rsid w:val="0089416F"/>
    <w:rPr>
      <w:sz w:val="18"/>
      <w:szCs w:val="18"/>
    </w:rPr>
  </w:style>
  <w:style w:type="paragraph" w:customStyle="1" w:styleId="MarginEdition">
    <w:name w:val="Margin Edition"/>
    <w:basedOn w:val="MarginNote"/>
    <w:rsid w:val="0089416F"/>
    <w:pPr>
      <w:spacing w:before="0" w:after="0"/>
    </w:pPr>
    <w:rPr>
      <w:rFonts w:ascii="Times New Roman" w:hAnsi="Times New Roman"/>
      <w:color w:val="999999"/>
    </w:rPr>
  </w:style>
  <w:style w:type="paragraph" w:customStyle="1" w:styleId="Spacer">
    <w:name w:val="Spacer"/>
    <w:basedOn w:val="Normal"/>
    <w:rsid w:val="0089416F"/>
    <w:rPr>
      <w:sz w:val="2"/>
      <w:szCs w:val="2"/>
    </w:rPr>
  </w:style>
  <w:style w:type="character" w:customStyle="1" w:styleId="Small">
    <w:name w:val="Small"/>
    <w:basedOn w:val="DefaultParagraphFont"/>
    <w:rsid w:val="0089416F"/>
    <w:rPr>
      <w:sz w:val="16"/>
    </w:rPr>
  </w:style>
  <w:style w:type="paragraph" w:customStyle="1" w:styleId="WideTable">
    <w:name w:val="Wide Table"/>
    <w:basedOn w:val="Normal"/>
    <w:rsid w:val="0089416F"/>
    <w:pPr>
      <w:ind w:left="-1418"/>
    </w:pPr>
    <w:rPr>
      <w:sz w:val="2"/>
      <w:szCs w:val="2"/>
    </w:rPr>
  </w:style>
  <w:style w:type="character" w:styleId="PageNumber">
    <w:name w:val="page number"/>
    <w:basedOn w:val="DefaultParagraphFont"/>
    <w:rsid w:val="0089416F"/>
  </w:style>
  <w:style w:type="paragraph" w:styleId="Quote">
    <w:name w:val="Quote"/>
    <w:basedOn w:val="Heading1"/>
    <w:link w:val="QuoteChar"/>
    <w:qFormat/>
    <w:rsid w:val="0089416F"/>
    <w:rPr>
      <w:b w:val="0"/>
      <w:sz w:val="72"/>
      <w:szCs w:val="72"/>
      <w:lang w:val="en-NZ"/>
    </w:rPr>
  </w:style>
  <w:style w:type="character" w:customStyle="1" w:styleId="QuoteChar">
    <w:name w:val="Quote Char"/>
    <w:basedOn w:val="DefaultParagraphFont"/>
    <w:link w:val="Quote"/>
    <w:rsid w:val="008941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16F"/>
    <w:pPr>
      <w:pageBreakBefore/>
    </w:pPr>
  </w:style>
  <w:style w:type="paragraph" w:customStyle="1" w:styleId="Border">
    <w:name w:val="Border"/>
    <w:basedOn w:val="Normal"/>
    <w:qFormat/>
    <w:rsid w:val="008941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16F"/>
    <w:rPr>
      <w:b/>
      <w:bCs/>
      <w:i/>
      <w:iCs/>
      <w:color w:val="auto"/>
    </w:rPr>
  </w:style>
  <w:style w:type="paragraph" w:styleId="IntenseQuote">
    <w:name w:val="Intense Quote"/>
    <w:basedOn w:val="Normal"/>
    <w:next w:val="Normal"/>
    <w:link w:val="IntenseQuoteChar"/>
    <w:uiPriority w:val="30"/>
    <w:qFormat/>
    <w:rsid w:val="008941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1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416F"/>
    <w:rPr>
      <w:smallCaps/>
      <w:color w:val="auto"/>
      <w:u w:val="single"/>
    </w:rPr>
  </w:style>
  <w:style w:type="character" w:styleId="IntenseReference">
    <w:name w:val="Intense Reference"/>
    <w:basedOn w:val="DefaultParagraphFont"/>
    <w:uiPriority w:val="32"/>
    <w:qFormat/>
    <w:rsid w:val="0089416F"/>
    <w:rPr>
      <w:b/>
      <w:bCs/>
      <w:smallCaps/>
      <w:color w:val="auto"/>
      <w:spacing w:val="5"/>
      <w:u w:val="single"/>
    </w:rPr>
  </w:style>
  <w:style w:type="paragraph" w:customStyle="1" w:styleId="2ColumnHeading">
    <w:name w:val="2Column Heading"/>
    <w:basedOn w:val="BodyText"/>
    <w:qFormat/>
    <w:rsid w:val="0089416F"/>
    <w:pPr>
      <w:spacing w:after="60"/>
      <w:ind w:left="-2268"/>
    </w:pPr>
    <w:rPr>
      <w:b/>
    </w:rPr>
  </w:style>
  <w:style w:type="paragraph" w:customStyle="1" w:styleId="Heading1TOC">
    <w:name w:val="Heading1 TOC"/>
    <w:basedOn w:val="Normal"/>
    <w:qFormat/>
    <w:rsid w:val="0089416F"/>
    <w:pPr>
      <w:spacing w:before="240" w:after="120"/>
    </w:pPr>
    <w:rPr>
      <w:rFonts w:ascii="Times New Roman" w:hAnsi="Times New Roman"/>
      <w:b/>
      <w:sz w:val="32"/>
    </w:rPr>
  </w:style>
  <w:style w:type="paragraph" w:customStyle="1" w:styleId="Heading2TOC">
    <w:name w:val="Heading2 TOC"/>
    <w:basedOn w:val="Normal"/>
    <w:qFormat/>
    <w:rsid w:val="0089416F"/>
    <w:pPr>
      <w:spacing w:before="240" w:after="60"/>
    </w:pPr>
    <w:rPr>
      <w:rFonts w:ascii="Times New Roman" w:hAnsi="Times New Roman"/>
      <w:b/>
      <w:sz w:val="28"/>
    </w:rPr>
  </w:style>
  <w:style w:type="character" w:customStyle="1" w:styleId="Underline">
    <w:name w:val="Underline"/>
    <w:basedOn w:val="DefaultParagraphFont"/>
    <w:qFormat/>
    <w:rsid w:val="0089416F"/>
    <w:rPr>
      <w:u w:val="single"/>
    </w:rPr>
  </w:style>
  <w:style w:type="character" w:customStyle="1" w:styleId="BoldandItalics">
    <w:name w:val="Bold and Italics"/>
    <w:qFormat/>
    <w:rsid w:val="0089416F"/>
    <w:rPr>
      <w:b/>
      <w:i/>
      <w:u w:val="none"/>
    </w:rPr>
  </w:style>
  <w:style w:type="paragraph" w:styleId="BalloonText">
    <w:name w:val="Balloon Text"/>
    <w:basedOn w:val="Normal"/>
    <w:link w:val="BalloonTextChar"/>
    <w:rsid w:val="0089416F"/>
    <w:rPr>
      <w:rFonts w:ascii="Tahoma" w:hAnsi="Tahoma" w:cs="Tahoma"/>
      <w:sz w:val="16"/>
      <w:szCs w:val="16"/>
    </w:rPr>
  </w:style>
  <w:style w:type="character" w:customStyle="1" w:styleId="BalloonTextChar">
    <w:name w:val="Balloon Text Char"/>
    <w:basedOn w:val="DefaultParagraphFont"/>
    <w:link w:val="BalloonText"/>
    <w:rsid w:val="008941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41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41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5475</Characters>
  <Application>Microsoft Office Word</Application>
  <DocSecurity>0</DocSecurity>
  <Lines>246</Lines>
  <Paragraphs>144</Paragraphs>
  <ScaleCrop>false</ScaleCrop>
  <Company>Author-it Software Corporation Ltd.</Company>
  <LinksUpToDate>false</LinksUpToDate>
  <CharactersWithSpaces>6308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PMCOPS261B Deliver concrete to site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2012-05-26T19:13:00Z</dcterms:created>
  <dcterms:modified xsi:type="dcterms:W3CDTF">2012-05-26T19:13:00Z</dcterms:modified>
</cp:coreProperties>
</file>