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18F4" w:rsidP="00E918F4">
      <w:pPr>
        <w:pStyle w:val="Title"/>
      </w:pPr>
      <w:r>
        <w:fldChar w:fldCharType="begin"/>
      </w:r>
      <w:r>
        <w:instrText xml:space="preserve"> TITLE   \* MERGEFORMAT </w:instrText>
      </w:r>
      <w:r>
        <w:fldChar w:fldCharType="separate"/>
      </w:r>
      <w:r>
        <w:t>PMC80116 Graduate Certificate</w:t>
      </w:r>
      <w:r>
        <w:t xml:space="preserve"> in Refractories Engineering</w:t>
      </w:r>
      <w:r>
        <w:fldChar w:fldCharType="end"/>
      </w:r>
    </w:p>
    <w:p w:rsidR="00E918F4" w:rsidP="00E918F4">
      <w:pPr>
        <w:pStyle w:val="Version"/>
        <w:sectPr w:rsidSect="007B40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4030" w:rsidP="007B4030">
      <w:pPr>
        <w:pStyle w:val="SuperHeading"/>
      </w:pPr>
      <w:r w:rsidRPr="007B4030">
        <w:t>PMC80116 Graduate Certificate in Refractories Engineering</w:t>
      </w:r>
    </w:p>
    <w:p w:rsidR="00000000" w:rsidRPr="007B4030" w:rsidP="007B4030">
      <w:pPr>
        <w:pStyle w:val="Heading1"/>
      </w:pPr>
      <w:bookmarkStart w:id="1" w:name="O_929659"/>
      <w:bookmarkEnd w:id="1"/>
      <w:r w:rsidRPr="007B4030">
        <w:t>Modification History</w:t>
      </w:r>
    </w:p>
    <w:p w:rsidR="00000000" w:rsidRPr="007B4030" w:rsidP="007B4030">
      <w:pPr>
        <w:pStyle w:val="BodyText"/>
      </w:pPr>
      <w:r w:rsidRPr="007B4030">
        <w:t xml:space="preserve">Release 1. Supersedes and is equivalent to PMC70110 Graduate Certificate in Refractories Engineering. </w:t>
      </w:r>
    </w:p>
    <w:p w:rsidR="00000000" w:rsidRPr="007B4030" w:rsidP="007B4030">
      <w:pPr>
        <w:pStyle w:val="AllowPageBreak"/>
      </w:pPr>
    </w:p>
    <w:p w:rsidR="00000000" w:rsidRPr="007B4030" w:rsidP="007B4030">
      <w:pPr>
        <w:pStyle w:val="Heading1"/>
      </w:pPr>
      <w:bookmarkStart w:id="2" w:name="O_929660"/>
      <w:bookmarkEnd w:id="2"/>
      <w:r w:rsidRPr="007B4030">
        <w:t>Qualification Description</w:t>
      </w:r>
    </w:p>
    <w:p w:rsidR="00000000" w:rsidRPr="007B4030" w:rsidP="007B4030">
      <w:pPr>
        <w:pStyle w:val="BodyText"/>
      </w:pPr>
      <w:r w:rsidRPr="007B4030">
        <w:t xml:space="preserve">The PMC80116 Graduate Certificate in Refractories Engineering covers the </w:t>
      </w:r>
      <w:r w:rsidRPr="007B4030">
        <w:t>skills and knowledge required to:</w:t>
      </w:r>
    </w:p>
    <w:p w:rsidR="00000000" w:rsidRPr="007B4030" w:rsidP="007B4030">
      <w:pPr>
        <w:pStyle w:val="ListBullet"/>
      </w:pPr>
      <w:r w:rsidRPr="007B4030">
        <w:t>design new refractory installations</w:t>
      </w:r>
    </w:p>
    <w:p w:rsidR="00000000" w:rsidRPr="007B4030" w:rsidP="007B4030">
      <w:pPr>
        <w:pStyle w:val="ListBullet"/>
      </w:pPr>
      <w:r w:rsidRPr="007B4030">
        <w:t>analyse refectory failures</w:t>
      </w:r>
    </w:p>
    <w:p w:rsidR="00000000" w:rsidRPr="007B4030" w:rsidP="007B4030">
      <w:pPr>
        <w:pStyle w:val="ListBullet"/>
      </w:pPr>
      <w:r w:rsidRPr="007B4030">
        <w:t>specify refractory repairs</w:t>
      </w:r>
    </w:p>
    <w:p w:rsidR="00000000" w:rsidRPr="007B4030" w:rsidP="007B4030">
      <w:pPr>
        <w:pStyle w:val="ListBullet"/>
      </w:pPr>
      <w:r w:rsidRPr="007B4030">
        <w:t>monitor and control new installations and repairs.</w:t>
      </w:r>
    </w:p>
    <w:p w:rsidR="00000000" w:rsidRPr="007B4030" w:rsidP="007B4030">
      <w:pPr>
        <w:pStyle w:val="BodyText"/>
      </w:pPr>
    </w:p>
    <w:p w:rsidR="00000000" w:rsidRPr="007B4030" w:rsidP="007B4030">
      <w:pPr>
        <w:pStyle w:val="BodyText"/>
      </w:pPr>
      <w:r w:rsidRPr="007B4030">
        <w:t>The qualification has been developed as a technical qualification for people wi</w:t>
      </w:r>
      <w:r w:rsidRPr="007B4030">
        <w:t>th a relevant qualification, such as a Degree in science or engineering (or equivalent) who need specialist refractory knowledge. It applies to recent graduates or graduates with recent refractories experience. It also applies to people with significant in</w:t>
      </w:r>
      <w:r w:rsidRPr="007B4030">
        <w:t>dustry experience who wish to upgrade their skills or seek recognition for skills they already possess.</w:t>
      </w:r>
    </w:p>
    <w:p w:rsidR="00000000" w:rsidRPr="007B4030" w:rsidP="007B4030">
      <w:pPr>
        <w:pStyle w:val="BodyText"/>
      </w:pPr>
    </w:p>
    <w:p w:rsidR="00000000" w:rsidRPr="007B4030" w:rsidP="007B4030">
      <w:pPr>
        <w:pStyle w:val="BodyText"/>
      </w:pPr>
      <w:r w:rsidRPr="007B4030">
        <w:t xml:space="preserve">The qualification is suitable for people who apply high-level refractory technical competence in roles such as project engineer, maintenance engineer, </w:t>
      </w:r>
      <w:r w:rsidRPr="007B4030">
        <w:t>purchasing engineer, area engineer, section manager, operations manager, project controller or project planner.</w:t>
      </w:r>
    </w:p>
    <w:p w:rsidR="00000000" w:rsidRPr="007B4030" w:rsidP="007B4030">
      <w:pPr>
        <w:pStyle w:val="BodyText"/>
      </w:pPr>
    </w:p>
    <w:p w:rsidR="00000000" w:rsidRPr="007B4030" w:rsidP="007B4030">
      <w:pPr>
        <w:pStyle w:val="BodyText"/>
      </w:pPr>
      <w:r w:rsidRPr="007B4030">
        <w:t>The person will be able to analyse and synthesise advanced theoretical and technical knowledge and apply independent judgement to high-level te</w:t>
      </w:r>
      <w:r w:rsidRPr="007B4030">
        <w:t xml:space="preserve">chnical issues and complex problems. </w:t>
      </w:r>
    </w:p>
    <w:p w:rsidR="00000000" w:rsidRPr="007B4030" w:rsidP="007B4030">
      <w:pPr>
        <w:pStyle w:val="BodyText"/>
      </w:pPr>
    </w:p>
    <w:p w:rsidR="00000000" w:rsidRPr="007B4030" w:rsidP="007B4030">
      <w:pPr>
        <w:pStyle w:val="BodyText"/>
      </w:pPr>
      <w:r w:rsidRPr="007B4030">
        <w:t xml:space="preserve">The individual may work in liaison with other refractory specialists or they may be the sole refractory specialist for a project or for their organisation. </w:t>
      </w:r>
    </w:p>
    <w:p w:rsidR="00000000" w:rsidRPr="007B4030" w:rsidP="007B4030">
      <w:pPr>
        <w:pStyle w:val="BodyText"/>
      </w:pPr>
    </w:p>
    <w:p w:rsidR="00000000" w:rsidRPr="007B4030" w:rsidP="007B4030">
      <w:pPr>
        <w:pStyle w:val="BodyText"/>
      </w:pPr>
      <w:r w:rsidRPr="007B4030">
        <w:t>There are no specific licenses that relate to this qualific</w:t>
      </w:r>
      <w:r w:rsidRPr="007B4030">
        <w:t>ation. However, depending on the jurisdiction, licensing or regulatory requirements may apply to the use of some units of competency in this qualification. Local regulations should be checked for details.</w:t>
      </w:r>
    </w:p>
    <w:p w:rsidR="00000000" w:rsidRPr="007B4030" w:rsidP="007B4030">
      <w:pPr>
        <w:pStyle w:val="AllowPageBreak"/>
      </w:pPr>
    </w:p>
    <w:p w:rsidR="00000000" w:rsidRPr="007B4030" w:rsidP="007B4030">
      <w:pPr>
        <w:pStyle w:val="Heading1"/>
      </w:pPr>
      <w:bookmarkStart w:id="3" w:name="O_929661"/>
      <w:bookmarkEnd w:id="3"/>
      <w:r w:rsidRPr="007B4030">
        <w:t>Entry Requirements</w:t>
      </w:r>
    </w:p>
    <w:p w:rsidR="00000000" w:rsidRPr="007B4030" w:rsidP="007B4030">
      <w:pPr>
        <w:pStyle w:val="ListBullet"/>
      </w:pPr>
      <w:r w:rsidRPr="007B4030">
        <w:t>Entra</w:t>
      </w:r>
      <w:r w:rsidRPr="007B4030">
        <w:t>nts to the PMC80116 Graduate Certificate in Refractories Engineering are required to have one or more of the following:</w:t>
      </w:r>
    </w:p>
    <w:p w:rsidR="00000000" w:rsidRPr="007B4030" w:rsidP="007B4030">
      <w:pPr>
        <w:pStyle w:val="ListBullet"/>
      </w:pPr>
      <w:r w:rsidRPr="007B4030">
        <w:t>Bachelor Degree in Engineering or related discipline</w:t>
      </w:r>
    </w:p>
    <w:p w:rsidR="00000000" w:rsidRPr="007B4030" w:rsidP="007B4030">
      <w:pPr>
        <w:pStyle w:val="ListBullet"/>
      </w:pPr>
      <w:r w:rsidRPr="007B4030">
        <w:t>Bachelor Degree in Science or related discipline</w:t>
      </w:r>
    </w:p>
    <w:p w:rsidR="00000000" w:rsidRPr="007B4030" w:rsidP="007B4030">
      <w:pPr>
        <w:pStyle w:val="ListBullet"/>
      </w:pPr>
      <w:r w:rsidRPr="007B4030">
        <w:t>a relevant Diploma, such as the PM</w:t>
      </w:r>
      <w:r w:rsidRPr="007B4030">
        <w:t>C60116 Advanced Diploma of Manufactured Mineral Products, together with significant relevant vocational practice</w:t>
      </w:r>
    </w:p>
    <w:p w:rsidR="00000000" w:rsidRPr="007B4030" w:rsidP="007B4030">
      <w:pPr>
        <w:pStyle w:val="ListBullet"/>
      </w:pPr>
      <w:r w:rsidRPr="007B4030">
        <w:t>extensive relevant vocational practice with a different qualification to those mentioned above or without formal qualification.</w:t>
      </w:r>
    </w:p>
    <w:p w:rsidR="00000000" w:rsidRPr="007B4030" w:rsidP="007B4030">
      <w:pPr>
        <w:pStyle w:val="BodyText"/>
      </w:pPr>
    </w:p>
    <w:p w:rsidR="00000000" w:rsidRPr="007B4030" w:rsidP="007B4030">
      <w:pPr>
        <w:pStyle w:val="BodyText"/>
      </w:pPr>
      <w:r w:rsidRPr="007B4030">
        <w:t>For the purpos</w:t>
      </w:r>
      <w:r w:rsidRPr="007B4030">
        <w:t>es of entry to this qualification, the term 'vocational practice' is defined as experience of:</w:t>
      </w:r>
    </w:p>
    <w:p w:rsidR="00000000" w:rsidRPr="007B4030" w:rsidP="007B4030">
      <w:pPr>
        <w:pStyle w:val="ListBullet"/>
      </w:pPr>
      <w:r w:rsidRPr="007B4030">
        <w:t>designing of new refractory installations and/or repairs</w:t>
      </w:r>
    </w:p>
    <w:p w:rsidR="00000000" w:rsidRPr="007B4030" w:rsidP="007B4030">
      <w:pPr>
        <w:pStyle w:val="ListBullet"/>
      </w:pPr>
      <w:r w:rsidRPr="007B4030">
        <w:t>project managing refractory installations</w:t>
      </w:r>
    </w:p>
    <w:p w:rsidR="00000000" w:rsidRPr="007B4030" w:rsidP="007B4030">
      <w:pPr>
        <w:pStyle w:val="ListBullet"/>
      </w:pPr>
      <w:r w:rsidRPr="007B4030">
        <w:t>assisting in a significant way with the above.</w:t>
      </w:r>
    </w:p>
    <w:p w:rsidR="00000000" w:rsidRPr="007B4030" w:rsidP="007B4030">
      <w:pPr>
        <w:pStyle w:val="AllowPageBreak"/>
      </w:pPr>
    </w:p>
    <w:p w:rsidR="00000000" w:rsidRPr="007B4030" w:rsidP="007B4030">
      <w:pPr>
        <w:pStyle w:val="Heading1"/>
      </w:pPr>
      <w:bookmarkStart w:id="4" w:name="O_929662"/>
      <w:bookmarkEnd w:id="4"/>
      <w:r w:rsidRPr="007B4030">
        <w:t>Packaging Rules</w:t>
      </w:r>
    </w:p>
    <w:tbl>
      <w:tblPr>
        <w:tblW w:w="9288" w:type="dxa"/>
        <w:tblLayout w:type="fixed"/>
        <w:tblCellMar>
          <w:left w:w="62" w:type="dxa"/>
          <w:right w:w="62" w:type="dxa"/>
        </w:tblCellMar>
        <w:tblLook w:val="0000"/>
      </w:tblPr>
      <w:tblGrid>
        <w:gridCol w:w="2238"/>
        <w:gridCol w:w="4701"/>
        <w:gridCol w:w="2349"/>
      </w:tblGrid>
      <w:tr w:rsidTr="007B4030">
        <w:tblPrEx>
          <w:tblW w:w="9288" w:type="dxa"/>
          <w:tblLayout w:type="fixed"/>
          <w:tblCellMar>
            <w:left w:w="62" w:type="dxa"/>
            <w:right w:w="62" w:type="dxa"/>
          </w:tblCellMar>
          <w:tblLook w:val="0000"/>
        </w:tblPrEx>
        <w:tc>
          <w:tcPr>
            <w:tcW w:w="9288" w:type="dxa"/>
            <w:gridSpan w:val="3"/>
            <w:tcBorders>
              <w:top w:val="nil"/>
              <w:left w:val="nil"/>
              <w:bottom w:val="nil"/>
              <w:right w:val="nil"/>
            </w:tcBorders>
            <w:tcMar>
              <w:top w:w="0" w:type="dxa"/>
              <w:left w:w="62" w:type="dxa"/>
              <w:bottom w:w="0" w:type="dxa"/>
              <w:right w:w="62" w:type="dxa"/>
            </w:tcMar>
          </w:tcPr>
          <w:p w:rsidR="00000000" w:rsidRPr="007B4030" w:rsidP="007B4030">
            <w:pPr>
              <w:pStyle w:val="BodyText"/>
            </w:pPr>
            <w:r w:rsidRPr="007B4030">
              <w:t xml:space="preserve">To be awarded the PMC80116 Graduate Certificate in Refractories Engineering competency must be achieved in </w:t>
            </w:r>
            <w:r w:rsidRPr="007B4030">
              <w:rPr>
                <w:rStyle w:val="SpecialBold"/>
              </w:rPr>
              <w:t>ten</w:t>
            </w:r>
            <w:r w:rsidRPr="007B4030">
              <w:t xml:space="preserve"> (</w:t>
            </w:r>
            <w:r w:rsidRPr="007B4030">
              <w:rPr>
                <w:rStyle w:val="SpecialBold"/>
              </w:rPr>
              <w:t>10</w:t>
            </w:r>
            <w:r w:rsidRPr="007B4030">
              <w:t>) units of competency:</w:t>
            </w:r>
          </w:p>
          <w:p w:rsidR="00000000" w:rsidRPr="007B4030" w:rsidP="007B4030">
            <w:pPr>
              <w:pStyle w:val="ListBullet"/>
            </w:pPr>
            <w:r w:rsidRPr="007B4030">
              <w:rPr>
                <w:rStyle w:val="SpecialBold"/>
              </w:rPr>
              <w:t>three</w:t>
            </w:r>
            <w:r w:rsidRPr="007B4030">
              <w:t xml:space="preserve"> (</w:t>
            </w:r>
            <w:r w:rsidRPr="007B4030">
              <w:rPr>
                <w:rStyle w:val="SpecialBold"/>
              </w:rPr>
              <w:t>3</w:t>
            </w:r>
            <w:r w:rsidRPr="007B4030">
              <w:t>) core units of competency</w:t>
            </w:r>
          </w:p>
          <w:p w:rsidR="00000000" w:rsidRPr="007B4030" w:rsidP="007B4030">
            <w:pPr>
              <w:pStyle w:val="ListBullet"/>
            </w:pPr>
            <w:r w:rsidRPr="007B4030">
              <w:rPr>
                <w:rStyle w:val="SpecialBold"/>
              </w:rPr>
              <w:t>seven</w:t>
            </w:r>
            <w:r w:rsidRPr="007B4030">
              <w:t xml:space="preserve"> (</w:t>
            </w:r>
            <w:r w:rsidRPr="007B4030">
              <w:rPr>
                <w:rStyle w:val="SpecialBold"/>
              </w:rPr>
              <w:t>7</w:t>
            </w:r>
            <w:r w:rsidRPr="007B4030">
              <w:t>) elective units of competency chosen from Groups A and B, as described below.</w:t>
            </w:r>
          </w:p>
          <w:p w:rsidR="00000000" w:rsidRPr="007B4030" w:rsidP="007B4030">
            <w:pPr>
              <w:pStyle w:val="ListBullet2"/>
            </w:pPr>
            <w:r w:rsidRPr="007B4030">
              <w:t xml:space="preserve">A minimum of </w:t>
            </w:r>
            <w:r w:rsidRPr="007B4030">
              <w:rPr>
                <w:rStyle w:val="SpecialBold"/>
              </w:rPr>
              <w:t>four</w:t>
            </w:r>
            <w:r w:rsidRPr="007B4030">
              <w:t xml:space="preserve"> (</w:t>
            </w:r>
            <w:r w:rsidRPr="007B4030">
              <w:rPr>
                <w:rStyle w:val="SpecialBold"/>
              </w:rPr>
              <w:t>4</w:t>
            </w:r>
            <w:r w:rsidRPr="007B4030">
              <w:t>) units must be selected from Group A</w:t>
            </w:r>
          </w:p>
          <w:p w:rsidR="00000000" w:rsidRPr="007B4030" w:rsidP="007B4030">
            <w:pPr>
              <w:pStyle w:val="ListBullet2"/>
            </w:pPr>
            <w:r w:rsidRPr="007B4030">
              <w:t xml:space="preserve">The balance of units, to a maximum of </w:t>
            </w:r>
            <w:r w:rsidRPr="007B4030">
              <w:rPr>
                <w:rStyle w:val="SpecialBold"/>
              </w:rPr>
              <w:t>three</w:t>
            </w:r>
            <w:r w:rsidRPr="007B4030">
              <w:t xml:space="preserve"> (</w:t>
            </w:r>
            <w:r w:rsidRPr="007B4030">
              <w:rPr>
                <w:rStyle w:val="SpecialBold"/>
              </w:rPr>
              <w:t>3</w:t>
            </w:r>
            <w:r w:rsidRPr="007B4030">
              <w:t>), may be chosen from Group A or Group B to bring the total number of el</w:t>
            </w:r>
            <w:r w:rsidRPr="007B4030">
              <w:t>ectives to seven (7).</w:t>
            </w:r>
          </w:p>
          <w:p w:rsidR="00000000" w:rsidRPr="007B4030" w:rsidP="007B4030">
            <w:pPr>
              <w:pStyle w:val="BodyText"/>
            </w:pPr>
          </w:p>
          <w:p w:rsidR="00000000" w:rsidRPr="007B4030" w:rsidP="007B4030">
            <w:pPr>
              <w:pStyle w:val="BodyText"/>
            </w:pPr>
            <w:r w:rsidRPr="007B4030">
              <w:t xml:space="preserve">Up to </w:t>
            </w:r>
            <w:r w:rsidRPr="007B4030">
              <w:rPr>
                <w:rStyle w:val="SpecialBold"/>
              </w:rPr>
              <w:t xml:space="preserve">two (2) </w:t>
            </w:r>
            <w:r w:rsidRPr="007B4030">
              <w:t>of the elective units of competency can be chosen from other qualifications in this Training Package, other endorsed Training Packages and accredited courses, as specified in Groups</w:t>
            </w:r>
            <w:r w:rsidRPr="007B4030">
              <w:rPr>
                <w:rStyle w:val="SpecialBold"/>
              </w:rPr>
              <w:t xml:space="preserve"> A and B.</w:t>
            </w:r>
          </w:p>
          <w:p w:rsidR="00000000" w:rsidRPr="007B4030" w:rsidP="007B4030">
            <w:pPr>
              <w:pStyle w:val="BodyText"/>
            </w:pPr>
          </w:p>
          <w:p w:rsidR="00000000" w:rsidP="007B4030">
            <w:pPr>
              <w:pStyle w:val="BodyText"/>
              <w:rPr>
                <w:lang w:val="en-NZ"/>
              </w:rPr>
            </w:pPr>
            <w:r w:rsidRPr="007B4030">
              <w:rPr>
                <w:rStyle w:val="SpecialBold"/>
              </w:rPr>
              <w:t>Note</w:t>
            </w:r>
            <w:r w:rsidRPr="007B4030">
              <w:t>: Prerequisite units ar</w:t>
            </w:r>
            <w:r w:rsidRPr="007B4030">
              <w:t>e listed and must be counted in the total number of units required for achievement of the qualification.</w:t>
            </w:r>
          </w:p>
        </w:tc>
      </w:tr>
      <w:tr w:rsidTr="007B4030">
        <w:tblPrEx>
          <w:tblW w:w="9288" w:type="dxa"/>
          <w:tblLayout w:type="fixed"/>
          <w:tblCellMar>
            <w:left w:w="62" w:type="dxa"/>
            <w:right w:w="62" w:type="dxa"/>
          </w:tblCellMar>
          <w:tblLook w:val="0000"/>
        </w:tblPrEx>
        <w:tc>
          <w:tcPr>
            <w:tcW w:w="9288" w:type="dxa"/>
            <w:gridSpan w:val="3"/>
            <w:tcBorders>
              <w:top w:val="nil"/>
              <w:left w:val="nil"/>
              <w:bottom w:val="single" w:sz="4" w:space="0" w:color="auto"/>
              <w:right w:val="nil"/>
            </w:tcBorders>
            <w:tcMar>
              <w:top w:w="0" w:type="dxa"/>
              <w:left w:w="62" w:type="dxa"/>
              <w:bottom w:w="0" w:type="dxa"/>
              <w:right w:w="62" w:type="dxa"/>
            </w:tcMar>
          </w:tcPr>
          <w:p w:rsidR="00000000" w:rsidRPr="007B4030" w:rsidP="007B4030">
            <w:pPr>
              <w:pStyle w:val="BodyText"/>
            </w:pPr>
          </w:p>
          <w:p w:rsidR="00000000" w:rsidRPr="007B4030" w:rsidP="007B4030">
            <w:pPr>
              <w:pStyle w:val="BodyText"/>
            </w:pPr>
            <w:r w:rsidRPr="007B4030">
              <w:rPr>
                <w:rStyle w:val="SpecialBold"/>
              </w:rPr>
              <w:t>Core units of competency</w:t>
            </w:r>
          </w:p>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r w:rsidRPr="007B4030">
              <w:rPr>
                <w:rStyle w:val="SpecialBold"/>
              </w:rPr>
              <w:t>Unit code</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rPr>
                <w:rStyle w:val="SpecialBold"/>
              </w:rPr>
              <w:t>Unit title</w:t>
            </w: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MSMWHS200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Work safely</w:t>
            </w: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PMC557090</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Select refractory materials for an application </w:t>
            </w: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PMC557091</w:t>
            </w:r>
          </w:p>
        </w:tc>
        <w:tc>
          <w:tcPr>
            <w:tcW w:w="70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Design a refractory lining </w:t>
            </w:r>
          </w:p>
        </w:tc>
      </w:tr>
      <w:tr w:rsidTr="007B4030">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p>
          <w:p w:rsidR="00000000" w:rsidRPr="007B4030" w:rsidP="007B4030">
            <w:pPr>
              <w:pStyle w:val="BodyText"/>
            </w:pPr>
            <w:r w:rsidRPr="007B4030">
              <w:rPr>
                <w:rStyle w:val="SpecialBold"/>
              </w:rPr>
              <w:t>Elective units of competency</w:t>
            </w:r>
          </w:p>
          <w:p w:rsidR="00000000" w:rsidRPr="007B4030" w:rsidP="007B4030">
            <w:pPr>
              <w:pStyle w:val="BodyText"/>
            </w:pPr>
          </w:p>
          <w:p w:rsidR="00000000" w:rsidRPr="007B4030" w:rsidP="007B4030">
            <w:pPr>
              <w:pStyle w:val="BodyText"/>
            </w:pPr>
            <w:r w:rsidRPr="007B4030">
              <w:rPr>
                <w:rStyle w:val="SpecialBold"/>
              </w:rPr>
              <w:t>Group A</w:t>
            </w:r>
            <w:r w:rsidRPr="007B4030">
              <w:t xml:space="preserve"> - </w:t>
            </w:r>
            <w:r w:rsidRPr="007B4030">
              <w:rPr>
                <w:rStyle w:val="SpecialBold"/>
              </w:rPr>
              <w:t>Specialist electives</w:t>
            </w:r>
          </w:p>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r w:rsidRPr="007B4030">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r w:rsidRPr="007B4030">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rPr>
                <w:rStyle w:val="SpecialBold"/>
              </w:rPr>
              <w:t>Prerequisites</w:t>
            </w: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Specify and interpret refractory tests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Design a refractory/ceramic component</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PMC557094</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Investigate refractory failures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Specify and monitor the installation of monolithic/castable refractories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PMC557096</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Specify and monitor the installation of block/precast refractories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Specify and monitor re</w:t>
            </w:r>
            <w:r w:rsidRPr="007B4030">
              <w:t xml:space="preserve">pairs to refractory installations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PMC557098</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 xml:space="preserve">Specify refractory installation systems </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p>
          <w:p w:rsidR="00000000" w:rsidRPr="007B4030" w:rsidP="007B4030">
            <w:pPr>
              <w:pStyle w:val="BodyText"/>
            </w:pPr>
            <w:r w:rsidRPr="007B4030">
              <w:rPr>
                <w:rStyle w:val="SpecialBold"/>
              </w:rPr>
              <w:t>Group B</w:t>
            </w:r>
            <w:r w:rsidRPr="007B4030">
              <w:t xml:space="preserve"> - </w:t>
            </w:r>
            <w:r w:rsidRPr="007B4030">
              <w:rPr>
                <w:rStyle w:val="SpecialBold"/>
              </w:rPr>
              <w:t>Other electives</w:t>
            </w:r>
          </w:p>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r w:rsidRPr="007B4030">
              <w:rPr>
                <w:rStyle w:val="SpecialBold"/>
              </w:rPr>
              <w:t>Unit code</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r w:rsidRPr="007B4030">
              <w:rPr>
                <w:rStyle w:val="SpecialBold"/>
              </w:rPr>
              <w:t>Unit title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rPr>
                <w:rStyle w:val="SpecialBold"/>
              </w:rPr>
              <w:t>Prerequisites</w:t>
            </w: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MSL916005</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Manage complex projects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MSMENV672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Develop workplace policy and procedures for sustainability</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MSS407013</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Review continuous improvement processes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MSS407002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Review operations practice tools and techniques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MSS407007</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Respond to a major non-conformance</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MSS407012</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Lead a process to determine and solve root cause for a complex problem</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22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PMC557001</w:t>
            </w:r>
          </w:p>
        </w:tc>
        <w:tc>
          <w:tcPr>
            <w:tcW w:w="4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r w:rsidRPr="007B4030">
              <w:t>Manage trials</w:t>
            </w:r>
          </w:p>
        </w:tc>
        <w:tc>
          <w:tcPr>
            <w:tcW w:w="23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4030">
            <w:pPr>
              <w:pStyle w:val="BodyText"/>
              <w:rPr>
                <w:lang w:val="en-NZ"/>
              </w:rPr>
            </w:pPr>
          </w:p>
        </w:tc>
      </w:tr>
      <w:tr w:rsidTr="007B4030">
        <w:tblPrEx>
          <w:tblW w:w="9288" w:type="dxa"/>
          <w:tblLayout w:type="fixed"/>
          <w:tblCellMar>
            <w:left w:w="62" w:type="dxa"/>
            <w:right w:w="62" w:type="dxa"/>
          </w:tblCellMar>
          <w:tblLook w:val="0000"/>
        </w:tblPrEx>
        <w:tc>
          <w:tcPr>
            <w:tcW w:w="928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4030" w:rsidP="007B4030">
            <w:pPr>
              <w:pStyle w:val="BodyText"/>
            </w:pPr>
          </w:p>
          <w:p w:rsidR="00000000" w:rsidRPr="007B4030" w:rsidP="007B4030">
            <w:pPr>
              <w:pStyle w:val="BodyText"/>
            </w:pPr>
            <w:r w:rsidRPr="007B4030">
              <w:t xml:space="preserve">Up to </w:t>
            </w:r>
            <w:r w:rsidRPr="007B4030">
              <w:rPr>
                <w:rStyle w:val="SpecialBold"/>
              </w:rPr>
              <w:t>two</w:t>
            </w:r>
            <w:r w:rsidRPr="007B4030">
              <w:t xml:space="preserve"> (</w:t>
            </w:r>
            <w:r w:rsidRPr="007B4030">
              <w:rPr>
                <w:rStyle w:val="SpecialBold"/>
              </w:rPr>
              <w:t>2</w:t>
            </w:r>
            <w:r w:rsidRPr="007B4030">
              <w:t>) relevant units may be chosen from this Training Package; other endorsed Training Packages and accredited courses where those units are package</w:t>
            </w:r>
            <w:r w:rsidRPr="007B4030">
              <w:t>d in a Diploma or above.</w:t>
            </w:r>
          </w:p>
        </w:tc>
      </w:tr>
    </w:tbl>
    <w:p w:rsidR="00000000" w:rsidRPr="007B4030" w:rsidP="007B4030">
      <w:pPr>
        <w:pStyle w:val="BodyText"/>
      </w:pPr>
    </w:p>
    <w:p w:rsidR="00000000" w:rsidRPr="007B4030" w:rsidP="007B4030">
      <w:pPr>
        <w:pStyle w:val="AllowPageBreak"/>
      </w:pPr>
    </w:p>
    <w:p w:rsidR="00000000" w:rsidRPr="007B4030" w:rsidP="007B4030">
      <w:pPr>
        <w:pStyle w:val="Heading1"/>
      </w:pPr>
      <w:bookmarkStart w:id="5" w:name="O_929663"/>
      <w:bookmarkEnd w:id="5"/>
      <w:r w:rsidRPr="007B4030">
        <w:t>Qualification Mapping Information</w:t>
      </w:r>
    </w:p>
    <w:p w:rsidR="00000000" w:rsidRPr="007B4030" w:rsidP="007B4030">
      <w:pPr>
        <w:pStyle w:val="BodyText"/>
      </w:pPr>
      <w:r w:rsidRPr="007B4030">
        <w:t xml:space="preserve">Release 1. Supersedes and is equivalent to PMC70110 Graduate Certificate in Refractories Engineering. </w:t>
      </w:r>
    </w:p>
    <w:p w:rsidR="00000000" w:rsidRPr="007B4030" w:rsidP="007B4030">
      <w:pPr>
        <w:pStyle w:val="AllowPageBreak"/>
      </w:pPr>
    </w:p>
    <w:p w:rsidR="00000000" w:rsidRPr="007B4030" w:rsidP="007B4030">
      <w:pPr>
        <w:pStyle w:val="Heading1"/>
      </w:pPr>
      <w:bookmarkStart w:id="6" w:name="O_929665"/>
      <w:bookmarkEnd w:id="6"/>
      <w:r w:rsidRPr="007B4030">
        <w:t>Links</w:t>
      </w:r>
    </w:p>
    <w:p w:rsidR="00000000" w:rsidRPr="007B4030" w:rsidP="007B4030">
      <w:pPr>
        <w:pStyle w:val="BodyText"/>
      </w:pPr>
      <w:r w:rsidRPr="007B4030">
        <w:t>MSA Training Package Implementation Guides - http://mskills.org.au/training-packages/info/</w:t>
      </w:r>
    </w:p>
    <w:p w:rsidR="00000000" w:rsidRPr="007B4030" w:rsidP="007B4030"/>
    <w:sectPr w:rsidSect="007B40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rsidRPr="00E918F4" w:rsidP="00E91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4" w:rsidP="007B4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918F4" w:rsidP="007B403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918F4" w:rsidP="007B4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rsidRPr="00E918F4" w:rsidP="00E918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8F4" w:rsidRPr="002D2AF8" w:rsidP="007B4030">
    <w:pPr>
      <w:pStyle w:val="Header"/>
      <w:framePr w:wrap="around"/>
    </w:pPr>
    <w:r>
      <w:fldChar w:fldCharType="begin"/>
    </w:r>
    <w:r>
      <w:instrText xml:space="preserve"> TITLE   \* MERGEFORMAT </w:instrText>
    </w:r>
    <w:r>
      <w:fldChar w:fldCharType="separate"/>
    </w:r>
    <w:r>
      <w:t>PMC80116 Graduate Certificate in Refractories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E918F4" w:rsidP="007B4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6614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A62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4E2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4030"/>
    <w:pPr>
      <w:spacing w:before="360" w:after="60"/>
      <w:outlineLvl w:val="0"/>
    </w:pPr>
    <w:rPr>
      <w:sz w:val="32"/>
    </w:rPr>
  </w:style>
  <w:style w:type="paragraph" w:styleId="Heading2">
    <w:name w:val="heading 2"/>
    <w:basedOn w:val="HeadingBase"/>
    <w:next w:val="BodyText"/>
    <w:link w:val="Heading2Char"/>
    <w:qFormat/>
    <w:rsid w:val="007B4030"/>
    <w:pPr>
      <w:keepLines/>
      <w:spacing w:before="240" w:after="120"/>
      <w:outlineLvl w:val="1"/>
    </w:pPr>
    <w:rPr>
      <w:sz w:val="28"/>
      <w:szCs w:val="40"/>
    </w:rPr>
  </w:style>
  <w:style w:type="paragraph" w:styleId="Heading3">
    <w:name w:val="heading 3"/>
    <w:basedOn w:val="HeadingBase"/>
    <w:next w:val="BodyText"/>
    <w:link w:val="Heading3Char"/>
    <w:qFormat/>
    <w:rsid w:val="007B4030"/>
    <w:pPr>
      <w:spacing w:before="180" w:after="120"/>
      <w:outlineLvl w:val="2"/>
    </w:pPr>
    <w:rPr>
      <w:spacing w:val="-10"/>
      <w:kern w:val="32"/>
    </w:rPr>
  </w:style>
  <w:style w:type="paragraph" w:styleId="Heading4">
    <w:name w:val="heading 4"/>
    <w:basedOn w:val="HeadingBase"/>
    <w:next w:val="BodyText"/>
    <w:link w:val="Heading4Char"/>
    <w:qFormat/>
    <w:rsid w:val="007B4030"/>
    <w:pPr>
      <w:spacing w:before="160" w:after="120"/>
      <w:outlineLvl w:val="3"/>
    </w:pPr>
    <w:rPr>
      <w:sz w:val="22"/>
    </w:rPr>
  </w:style>
  <w:style w:type="paragraph" w:styleId="Heading5">
    <w:name w:val="heading 5"/>
    <w:basedOn w:val="HeadingBase"/>
    <w:next w:val="Normal"/>
    <w:link w:val="Heading5Char"/>
    <w:qFormat/>
    <w:rsid w:val="007B4030"/>
    <w:pPr>
      <w:spacing w:before="80"/>
      <w:outlineLvl w:val="4"/>
    </w:pPr>
    <w:rPr>
      <w:color w:val="918585"/>
      <w:sz w:val="20"/>
    </w:rPr>
  </w:style>
  <w:style w:type="paragraph" w:styleId="Heading6">
    <w:name w:val="heading 6"/>
    <w:basedOn w:val="HeadingBase"/>
    <w:next w:val="Normal"/>
    <w:link w:val="Heading6Char"/>
    <w:qFormat/>
    <w:rsid w:val="007B4030"/>
    <w:pPr>
      <w:spacing w:before="60"/>
      <w:outlineLvl w:val="5"/>
    </w:pPr>
    <w:rPr>
      <w:color w:val="918585"/>
      <w:sz w:val="20"/>
    </w:rPr>
  </w:style>
  <w:style w:type="paragraph" w:styleId="Heading7">
    <w:name w:val="heading 7"/>
    <w:basedOn w:val="Normal"/>
    <w:next w:val="Normal"/>
    <w:link w:val="Heading7Char"/>
    <w:qFormat/>
    <w:rsid w:val="007B4030"/>
    <w:pPr>
      <w:ind w:left="720"/>
      <w:outlineLvl w:val="6"/>
    </w:pPr>
    <w:rPr>
      <w:i/>
    </w:rPr>
  </w:style>
  <w:style w:type="paragraph" w:styleId="Heading8">
    <w:name w:val="heading 8"/>
    <w:basedOn w:val="Normal"/>
    <w:next w:val="Normal"/>
    <w:link w:val="Heading8Char"/>
    <w:qFormat/>
    <w:rsid w:val="007B4030"/>
    <w:pPr>
      <w:ind w:left="720"/>
      <w:outlineLvl w:val="7"/>
    </w:pPr>
    <w:rPr>
      <w:i/>
    </w:rPr>
  </w:style>
  <w:style w:type="paragraph" w:styleId="Heading9">
    <w:name w:val="heading 9"/>
    <w:basedOn w:val="Normal"/>
    <w:next w:val="Normal"/>
    <w:link w:val="Heading9Char"/>
    <w:qFormat/>
    <w:rsid w:val="007B4030"/>
    <w:pPr>
      <w:ind w:left="720"/>
      <w:outlineLvl w:val="8"/>
    </w:pPr>
    <w:rPr>
      <w:i/>
    </w:rPr>
  </w:style>
  <w:style w:type="character" w:default="1" w:styleId="DefaultParagraphFont">
    <w:name w:val="Default Paragraph Font"/>
    <w:uiPriority w:val="1"/>
    <w:unhideWhenUsed/>
    <w:rsid w:val="007B4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4030"/>
  </w:style>
  <w:style w:type="character" w:customStyle="1" w:styleId="Heading1Char">
    <w:name w:val="Heading 1 Char"/>
    <w:basedOn w:val="DefaultParagraphFont"/>
    <w:link w:val="Heading1"/>
    <w:rsid w:val="007B4030"/>
    <w:rPr>
      <w:rFonts w:ascii="Times New Roman" w:eastAsia="Times New Roman" w:hAnsi="Times New Roman" w:cs="Times New Roman"/>
      <w:b/>
      <w:sz w:val="32"/>
      <w:szCs w:val="20"/>
      <w:lang w:eastAsia="en-US"/>
    </w:rPr>
  </w:style>
  <w:style w:type="paragraph" w:styleId="BodyText">
    <w:name w:val="Body Text"/>
    <w:basedOn w:val="Normal"/>
    <w:link w:val="BodyTextChar"/>
    <w:rsid w:val="007B40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4030"/>
    <w:rPr>
      <w:rFonts w:ascii="Times New Roman" w:eastAsia="Times New Roman" w:hAnsi="Times New Roman" w:cs="Times New Roman"/>
      <w:sz w:val="24"/>
      <w:lang w:eastAsia="en-US"/>
    </w:rPr>
  </w:style>
  <w:style w:type="paragraph" w:styleId="ListBullet">
    <w:name w:val="List Bullet"/>
    <w:basedOn w:val="List"/>
    <w:rsid w:val="007B4030"/>
    <w:pPr>
      <w:numPr>
        <w:numId w:val="13"/>
      </w:numPr>
      <w:tabs>
        <w:tab w:val="clear" w:pos="340"/>
      </w:tabs>
      <w:spacing w:before="40" w:after="40"/>
    </w:pPr>
  </w:style>
  <w:style w:type="character" w:customStyle="1" w:styleId="SpecialBold">
    <w:name w:val="Special Bold"/>
    <w:basedOn w:val="DefaultParagraphFont"/>
    <w:rsid w:val="007B4030"/>
    <w:rPr>
      <w:b/>
      <w:spacing w:val="0"/>
    </w:rPr>
  </w:style>
  <w:style w:type="paragraph" w:styleId="ListBullet2">
    <w:name w:val="List Bullet 2"/>
    <w:basedOn w:val="List2"/>
    <w:rsid w:val="007B4030"/>
    <w:pPr>
      <w:numPr>
        <w:numId w:val="14"/>
      </w:numPr>
      <w:tabs>
        <w:tab w:val="clear" w:pos="680"/>
      </w:tabs>
    </w:pPr>
  </w:style>
  <w:style w:type="paragraph" w:customStyle="1" w:styleId="SuperHeading">
    <w:name w:val="SuperHeading"/>
    <w:basedOn w:val="Normal"/>
    <w:rsid w:val="007B4030"/>
    <w:pPr>
      <w:spacing w:before="240" w:after="120"/>
      <w:outlineLvl w:val="0"/>
    </w:pPr>
    <w:rPr>
      <w:rFonts w:ascii="Times New Roman" w:hAnsi="Times New Roman"/>
      <w:b/>
      <w:sz w:val="32"/>
    </w:rPr>
  </w:style>
  <w:style w:type="paragraph" w:customStyle="1" w:styleId="AllowPageBreak">
    <w:name w:val="AllowPageBreak"/>
    <w:rsid w:val="007B4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4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4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4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4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4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4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4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4030"/>
    <w:rPr>
      <w:rFonts w:ascii="Courier New" w:eastAsia="Times New Roman" w:hAnsi="Courier New" w:cs="Times New Roman"/>
      <w:i/>
      <w:szCs w:val="20"/>
      <w:lang w:eastAsia="en-US"/>
    </w:rPr>
  </w:style>
  <w:style w:type="paragraph" w:customStyle="1" w:styleId="HeadingBase">
    <w:name w:val="Heading Base"/>
    <w:rsid w:val="007B4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4030"/>
    <w:pPr>
      <w:tabs>
        <w:tab w:val="right" w:leader="dot" w:pos="9072"/>
      </w:tabs>
      <w:ind w:left="567"/>
    </w:pPr>
    <w:rPr>
      <w:szCs w:val="22"/>
    </w:rPr>
  </w:style>
  <w:style w:type="paragraph" w:customStyle="1" w:styleId="TOCBase">
    <w:name w:val="TOC Base"/>
    <w:rsid w:val="007B4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4030"/>
    <w:pPr>
      <w:tabs>
        <w:tab w:val="right" w:leader="dot" w:pos="9072"/>
      </w:tabs>
      <w:spacing w:before="40" w:after="40"/>
      <w:ind w:left="284"/>
    </w:pPr>
    <w:rPr>
      <w:rFonts w:ascii="Times New Roman" w:hAnsi="Times New Roman"/>
    </w:rPr>
  </w:style>
  <w:style w:type="paragraph" w:styleId="TOC1">
    <w:name w:val="toc 1"/>
    <w:basedOn w:val="TOCBase"/>
    <w:next w:val="Normal"/>
    <w:rsid w:val="007B4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4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4030"/>
    <w:rPr>
      <w:rFonts w:ascii="Times New Roman" w:eastAsia="Times New Roman" w:hAnsi="Times New Roman" w:cs="Times New Roman"/>
      <w:sz w:val="16"/>
      <w:lang w:eastAsia="en-US"/>
    </w:rPr>
  </w:style>
  <w:style w:type="paragraph" w:styleId="Title">
    <w:name w:val="Title"/>
    <w:basedOn w:val="HeadingBase"/>
    <w:link w:val="TitleChar"/>
    <w:qFormat/>
    <w:rsid w:val="007B4030"/>
    <w:pPr>
      <w:spacing w:before="5040"/>
      <w:jc w:val="center"/>
    </w:pPr>
    <w:rPr>
      <w:sz w:val="48"/>
      <w:szCs w:val="72"/>
      <w:lang w:val="en-US"/>
    </w:rPr>
  </w:style>
  <w:style w:type="character" w:customStyle="1" w:styleId="TitleChar">
    <w:name w:val="Title Char"/>
    <w:basedOn w:val="DefaultParagraphFont"/>
    <w:link w:val="Title"/>
    <w:rsid w:val="007B4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4030"/>
    <w:pPr>
      <w:tabs>
        <w:tab w:val="left" w:pos="3600"/>
        <w:tab w:val="left" w:pos="3958"/>
      </w:tabs>
    </w:pPr>
  </w:style>
  <w:style w:type="paragraph" w:styleId="List">
    <w:name w:val="List"/>
    <w:basedOn w:val="BodyText"/>
    <w:next w:val="BodyText"/>
    <w:rsid w:val="007B4030"/>
    <w:pPr>
      <w:tabs>
        <w:tab w:val="left" w:pos="340"/>
      </w:tabs>
      <w:spacing w:before="60" w:after="60"/>
      <w:ind w:left="340" w:hanging="340"/>
    </w:pPr>
  </w:style>
  <w:style w:type="paragraph" w:customStyle="1" w:styleId="Note">
    <w:name w:val="Note"/>
    <w:basedOn w:val="BodyText"/>
    <w:rsid w:val="007B4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4030"/>
    <w:pPr>
      <w:framePr w:wrap="auto" w:hAnchor="text" w:y="6049"/>
    </w:pPr>
    <w:rPr>
      <w:color w:val="000000"/>
      <w:sz w:val="40"/>
    </w:rPr>
  </w:style>
  <w:style w:type="paragraph" w:customStyle="1" w:styleId="TOCTitle">
    <w:name w:val="TOCTitle"/>
    <w:basedOn w:val="Heading1"/>
    <w:rsid w:val="007B4030"/>
    <w:pPr>
      <w:spacing w:after="240"/>
      <w:jc w:val="center"/>
      <w:outlineLvl w:val="9"/>
    </w:pPr>
    <w:rPr>
      <w:caps/>
    </w:rPr>
  </w:style>
  <w:style w:type="paragraph" w:customStyle="1" w:styleId="Version">
    <w:name w:val="Version"/>
    <w:rsid w:val="007B40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4030"/>
    <w:pPr>
      <w:keepNext w:val="0"/>
      <w:tabs>
        <w:tab w:val="right" w:pos="4176"/>
      </w:tabs>
      <w:ind w:left="198" w:hanging="198"/>
    </w:pPr>
    <w:rPr>
      <w:rFonts w:ascii="Garamond" w:hAnsi="Garamond"/>
    </w:rPr>
  </w:style>
  <w:style w:type="paragraph" w:styleId="IndexHeading">
    <w:name w:val="index heading"/>
    <w:basedOn w:val="Normal"/>
    <w:next w:val="Index1"/>
    <w:semiHidden/>
    <w:rsid w:val="007B4030"/>
    <w:pPr>
      <w:spacing w:before="120" w:after="120"/>
    </w:pPr>
    <w:rPr>
      <w:rFonts w:ascii="Arial" w:hAnsi="Arial"/>
      <w:b/>
      <w:color w:val="918585"/>
      <w:sz w:val="24"/>
    </w:rPr>
  </w:style>
  <w:style w:type="paragraph" w:styleId="Header">
    <w:name w:val="header"/>
    <w:basedOn w:val="Normal"/>
    <w:link w:val="HeaderChar"/>
    <w:rsid w:val="007B4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4030"/>
    <w:rPr>
      <w:rFonts w:ascii="Times New Roman" w:eastAsia="Times New Roman" w:hAnsi="Times New Roman" w:cs="Times New Roman"/>
      <w:sz w:val="16"/>
      <w:szCs w:val="20"/>
      <w:lang w:val="en-GB" w:eastAsia="en-US"/>
    </w:rPr>
  </w:style>
  <w:style w:type="paragraph" w:customStyle="1" w:styleId="Chapter">
    <w:name w:val="Chapter"/>
    <w:basedOn w:val="Normal"/>
    <w:rsid w:val="007B4030"/>
    <w:pPr>
      <w:spacing w:before="240"/>
    </w:pPr>
    <w:rPr>
      <w:rFonts w:ascii="Times New Roman" w:hAnsi="Times New Roman"/>
      <w:smallCaps/>
      <w:spacing w:val="80"/>
      <w:sz w:val="28"/>
    </w:rPr>
  </w:style>
  <w:style w:type="paragraph" w:customStyle="1" w:styleId="InChapter">
    <w:name w:val="InChapter"/>
    <w:basedOn w:val="Heading3"/>
    <w:rsid w:val="007B4030"/>
    <w:pPr>
      <w:spacing w:after="240"/>
      <w:outlineLvl w:val="9"/>
    </w:pPr>
    <w:rPr>
      <w:noProof/>
    </w:rPr>
  </w:style>
  <w:style w:type="paragraph" w:styleId="Index2">
    <w:name w:val="index 2"/>
    <w:basedOn w:val="Normal"/>
    <w:next w:val="Normal"/>
    <w:semiHidden/>
    <w:rsid w:val="007B4030"/>
    <w:pPr>
      <w:tabs>
        <w:tab w:val="right" w:pos="4176"/>
      </w:tabs>
      <w:ind w:left="568" w:hanging="284"/>
    </w:pPr>
    <w:rPr>
      <w:rFonts w:ascii="Garamond" w:hAnsi="Garamond"/>
    </w:rPr>
  </w:style>
  <w:style w:type="paragraph" w:customStyle="1" w:styleId="Byline">
    <w:name w:val="Byline"/>
    <w:rsid w:val="007B4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4030"/>
    <w:pPr>
      <w:tabs>
        <w:tab w:val="clear" w:pos="3600"/>
        <w:tab w:val="clear" w:pos="3958"/>
      </w:tabs>
      <w:jc w:val="right"/>
    </w:pPr>
  </w:style>
  <w:style w:type="character" w:styleId="Emphasis">
    <w:name w:val="Emphasis"/>
    <w:basedOn w:val="DefaultParagraphFont"/>
    <w:qFormat/>
    <w:rsid w:val="007B4030"/>
    <w:rPr>
      <w:i/>
    </w:rPr>
  </w:style>
  <w:style w:type="paragraph" w:styleId="Caption">
    <w:name w:val="caption"/>
    <w:basedOn w:val="BodyText"/>
    <w:next w:val="Normal"/>
    <w:qFormat/>
    <w:rsid w:val="007B4030"/>
    <w:pPr>
      <w:framePr w:w="2268" w:hSpace="181" w:vSpace="181" w:wrap="around" w:vAnchor="text" w:hAnchor="page" w:x="1135" w:y="285" w:anchorLock="1"/>
    </w:pPr>
    <w:rPr>
      <w:i/>
    </w:rPr>
  </w:style>
  <w:style w:type="paragraph" w:customStyle="1" w:styleId="MiniTOCTitle">
    <w:name w:val="MiniTOCTitle"/>
    <w:basedOn w:val="Heading4"/>
    <w:rsid w:val="007B4030"/>
    <w:pPr>
      <w:spacing w:before="240"/>
      <w:outlineLvl w:val="9"/>
    </w:pPr>
    <w:rPr>
      <w:noProof/>
      <w:sz w:val="24"/>
    </w:rPr>
  </w:style>
  <w:style w:type="paragraph" w:customStyle="1" w:styleId="MiniTOCItem">
    <w:name w:val="MiniTOCItem"/>
    <w:basedOn w:val="ListBullet"/>
    <w:rsid w:val="007B4030"/>
    <w:pPr>
      <w:numPr>
        <w:numId w:val="0"/>
      </w:numPr>
      <w:tabs>
        <w:tab w:val="right" w:leader="dot" w:pos="6521"/>
      </w:tabs>
      <w:spacing w:before="0" w:after="0"/>
    </w:pPr>
  </w:style>
  <w:style w:type="paragraph" w:customStyle="1" w:styleId="TOFTitle">
    <w:name w:val="TOFTitle"/>
    <w:basedOn w:val="TOCTitle"/>
    <w:rsid w:val="007B4030"/>
  </w:style>
  <w:style w:type="paragraph" w:styleId="TableofFigures">
    <w:name w:val="table of figures"/>
    <w:basedOn w:val="Normal"/>
    <w:next w:val="Normal"/>
    <w:semiHidden/>
    <w:rsid w:val="007B4030"/>
    <w:pPr>
      <w:tabs>
        <w:tab w:val="right" w:leader="dot" w:pos="9072"/>
      </w:tabs>
      <w:ind w:left="970" w:hanging="403"/>
    </w:pPr>
    <w:rPr>
      <w:rFonts w:ascii="Times New Roman" w:hAnsi="Times New Roman"/>
      <w:b/>
    </w:rPr>
  </w:style>
  <w:style w:type="paragraph" w:styleId="ListNumber">
    <w:name w:val="List Number"/>
    <w:basedOn w:val="List"/>
    <w:rsid w:val="007B4030"/>
    <w:pPr>
      <w:numPr>
        <w:numId w:val="11"/>
      </w:numPr>
    </w:pPr>
  </w:style>
  <w:style w:type="character" w:customStyle="1" w:styleId="WingdingSymbols">
    <w:name w:val="Wingding Symbols"/>
    <w:rsid w:val="007B4030"/>
    <w:rPr>
      <w:rFonts w:ascii="Wingdings" w:hAnsi="Wingdings"/>
    </w:rPr>
  </w:style>
  <w:style w:type="paragraph" w:customStyle="1" w:styleId="TableHeading">
    <w:name w:val="Table Heading"/>
    <w:basedOn w:val="HeadingBase"/>
    <w:rsid w:val="007B4030"/>
    <w:pPr>
      <w:keepLines/>
      <w:pBdr>
        <w:bottom w:val="single" w:sz="6" w:space="1" w:color="918585"/>
      </w:pBdr>
      <w:spacing w:before="240"/>
    </w:pPr>
  </w:style>
  <w:style w:type="character" w:customStyle="1" w:styleId="HotSpot">
    <w:name w:val="HotSpot"/>
    <w:rsid w:val="007B4030"/>
    <w:rPr>
      <w:color w:val="0033CC"/>
      <w:u w:val="none"/>
    </w:rPr>
  </w:style>
  <w:style w:type="paragraph" w:customStyle="1" w:styleId="BodyTextRight">
    <w:name w:val="Body Text Right"/>
    <w:basedOn w:val="BodyText"/>
    <w:rsid w:val="007B4030"/>
    <w:pPr>
      <w:spacing w:before="0" w:after="0"/>
      <w:jc w:val="right"/>
    </w:pPr>
  </w:style>
  <w:style w:type="paragraph" w:styleId="Index3">
    <w:name w:val="index 3"/>
    <w:basedOn w:val="ListNumber2"/>
    <w:next w:val="Normal"/>
    <w:semiHidden/>
    <w:rsid w:val="007B4030"/>
    <w:pPr>
      <w:numPr>
        <w:numId w:val="0"/>
      </w:numPr>
      <w:tabs>
        <w:tab w:val="right" w:leader="dot" w:pos="4176"/>
      </w:tabs>
    </w:pPr>
  </w:style>
  <w:style w:type="paragraph" w:styleId="ListNumber2">
    <w:name w:val="List Number 2"/>
    <w:basedOn w:val="List2"/>
    <w:rsid w:val="007B4030"/>
    <w:pPr>
      <w:numPr>
        <w:numId w:val="10"/>
      </w:numPr>
      <w:tabs>
        <w:tab w:val="clear" w:pos="1060"/>
      </w:tabs>
    </w:pPr>
  </w:style>
  <w:style w:type="paragraph" w:customStyle="1" w:styleId="MarginNote">
    <w:name w:val="Margin Note"/>
    <w:basedOn w:val="BodyText"/>
    <w:rsid w:val="007B4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4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4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4030"/>
    <w:rPr>
      <w:sz w:val="32"/>
    </w:rPr>
  </w:style>
  <w:style w:type="paragraph" w:customStyle="1" w:styleId="HeadingProcedure">
    <w:name w:val="Heading Procedure"/>
    <w:basedOn w:val="HeadingBase"/>
    <w:next w:val="Normal"/>
    <w:rsid w:val="007B4030"/>
    <w:pPr>
      <w:tabs>
        <w:tab w:val="left" w:pos="0"/>
      </w:tabs>
      <w:spacing w:before="120" w:after="60"/>
    </w:pPr>
    <w:rPr>
      <w:i/>
      <w:color w:val="918585"/>
      <w:sz w:val="22"/>
    </w:rPr>
  </w:style>
  <w:style w:type="paragraph" w:customStyle="1" w:styleId="TableBodyText">
    <w:name w:val="Table Body Text"/>
    <w:basedOn w:val="BodyText"/>
    <w:rsid w:val="007B4030"/>
    <w:pPr>
      <w:spacing w:before="60" w:after="60"/>
    </w:pPr>
  </w:style>
  <w:style w:type="paragraph" w:styleId="ListContinue">
    <w:name w:val="List Continue"/>
    <w:basedOn w:val="List"/>
    <w:rsid w:val="007B4030"/>
    <w:pPr>
      <w:ind w:firstLine="0"/>
    </w:pPr>
  </w:style>
  <w:style w:type="paragraph" w:customStyle="1" w:styleId="ListNote">
    <w:name w:val="List Note"/>
    <w:basedOn w:val="List"/>
    <w:rsid w:val="007B4030"/>
    <w:pPr>
      <w:pBdr>
        <w:top w:val="single" w:sz="6" w:space="2" w:color="918585"/>
        <w:bottom w:val="single" w:sz="6" w:space="2" w:color="918585"/>
      </w:pBdr>
      <w:tabs>
        <w:tab w:val="left" w:pos="1021"/>
      </w:tabs>
      <w:ind w:firstLine="0"/>
    </w:pPr>
  </w:style>
  <w:style w:type="paragraph" w:customStyle="1" w:styleId="Warning">
    <w:name w:val="Warning"/>
    <w:basedOn w:val="BodyText"/>
    <w:rsid w:val="007B4030"/>
    <w:pPr>
      <w:shd w:val="clear" w:color="auto" w:fill="D9D9D9"/>
      <w:tabs>
        <w:tab w:val="left" w:pos="992"/>
      </w:tabs>
      <w:ind w:left="119" w:right="119"/>
    </w:pPr>
    <w:rPr>
      <w:sz w:val="20"/>
    </w:rPr>
  </w:style>
  <w:style w:type="paragraph" w:customStyle="1" w:styleId="MarginIcons">
    <w:name w:val="Margin Icons"/>
    <w:basedOn w:val="BodyText"/>
    <w:rsid w:val="007B4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4030"/>
    <w:rPr>
      <w:rFonts w:ascii="Courier New" w:hAnsi="Courier New"/>
    </w:rPr>
  </w:style>
  <w:style w:type="paragraph" w:customStyle="1" w:styleId="NoteBullet">
    <w:name w:val="Note Bullet"/>
    <w:basedOn w:val="Note"/>
    <w:rsid w:val="007B4030"/>
    <w:pPr>
      <w:tabs>
        <w:tab w:val="clear" w:pos="680"/>
      </w:tabs>
      <w:spacing w:before="60" w:after="60"/>
    </w:pPr>
  </w:style>
  <w:style w:type="paragraph" w:customStyle="1" w:styleId="SubHeading2">
    <w:name w:val="SubHeading2"/>
    <w:basedOn w:val="HeadingBase"/>
    <w:rsid w:val="007B4030"/>
    <w:pPr>
      <w:spacing w:before="240" w:after="60"/>
    </w:pPr>
    <w:rPr>
      <w:sz w:val="20"/>
    </w:rPr>
  </w:style>
  <w:style w:type="paragraph" w:customStyle="1" w:styleId="SubHeading1">
    <w:name w:val="SubHeading1"/>
    <w:basedOn w:val="HeadingBase"/>
    <w:rsid w:val="007B4030"/>
    <w:pPr>
      <w:spacing w:before="240" w:after="60"/>
    </w:pPr>
    <w:rPr>
      <w:color w:val="918585"/>
      <w:sz w:val="22"/>
    </w:rPr>
  </w:style>
  <w:style w:type="paragraph" w:customStyle="1" w:styleId="SideHeading">
    <w:name w:val="Side Heading"/>
    <w:basedOn w:val="HeadingBase"/>
    <w:rsid w:val="007B4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4030"/>
    <w:pPr>
      <w:numPr>
        <w:numId w:val="12"/>
      </w:numPr>
    </w:pPr>
  </w:style>
  <w:style w:type="paragraph" w:styleId="PlainText">
    <w:name w:val="Plain Text"/>
    <w:basedOn w:val="Normal"/>
    <w:link w:val="PlainTextChar"/>
    <w:rsid w:val="007B4030"/>
    <w:rPr>
      <w:sz w:val="20"/>
    </w:rPr>
  </w:style>
  <w:style w:type="character" w:customStyle="1" w:styleId="PlainTextChar">
    <w:name w:val="Plain Text Char"/>
    <w:basedOn w:val="DefaultParagraphFont"/>
    <w:link w:val="PlainText"/>
    <w:rsid w:val="007B4030"/>
    <w:rPr>
      <w:rFonts w:ascii="Courier New" w:eastAsia="Times New Roman" w:hAnsi="Courier New" w:cs="Times New Roman"/>
      <w:sz w:val="20"/>
      <w:szCs w:val="20"/>
      <w:lang w:eastAsia="en-US"/>
    </w:rPr>
  </w:style>
  <w:style w:type="character" w:customStyle="1" w:styleId="MenuOption">
    <w:name w:val="Menu Option"/>
    <w:basedOn w:val="DefaultParagraphFont"/>
    <w:rsid w:val="007B4030"/>
    <w:rPr>
      <w:b/>
      <w:smallCaps/>
    </w:rPr>
  </w:style>
  <w:style w:type="paragraph" w:customStyle="1" w:styleId="TableListNumber">
    <w:name w:val="Table List Number"/>
    <w:basedOn w:val="ListNumber"/>
    <w:rsid w:val="007B4030"/>
    <w:pPr>
      <w:numPr>
        <w:numId w:val="0"/>
      </w:numPr>
    </w:pPr>
  </w:style>
  <w:style w:type="paragraph" w:styleId="TOC4">
    <w:name w:val="toc 4"/>
    <w:basedOn w:val="TOCBase"/>
    <w:next w:val="Normal"/>
    <w:semiHidden/>
    <w:rsid w:val="007B4030"/>
    <w:pPr>
      <w:tabs>
        <w:tab w:val="right" w:leader="dot" w:pos="9071"/>
      </w:tabs>
      <w:ind w:left="1701"/>
    </w:pPr>
  </w:style>
  <w:style w:type="paragraph" w:customStyle="1" w:styleId="ListAlpha">
    <w:name w:val="List Alpha"/>
    <w:basedOn w:val="List"/>
    <w:rsid w:val="007B4030"/>
    <w:pPr>
      <w:numPr>
        <w:numId w:val="9"/>
      </w:numPr>
    </w:pPr>
  </w:style>
  <w:style w:type="paragraph" w:customStyle="1" w:styleId="ListAlpha2">
    <w:name w:val="List Alpha 2"/>
    <w:basedOn w:val="List2"/>
    <w:rsid w:val="007B4030"/>
    <w:pPr>
      <w:numPr>
        <w:numId w:val="8"/>
      </w:numPr>
    </w:pPr>
  </w:style>
  <w:style w:type="paragraph" w:styleId="List2">
    <w:name w:val="List 2"/>
    <w:basedOn w:val="BodyText"/>
    <w:rsid w:val="007B4030"/>
    <w:pPr>
      <w:tabs>
        <w:tab w:val="left" w:pos="680"/>
      </w:tabs>
      <w:spacing w:before="60" w:after="60"/>
      <w:ind w:left="680" w:hanging="340"/>
    </w:pPr>
  </w:style>
  <w:style w:type="paragraph" w:styleId="List3">
    <w:name w:val="List 3"/>
    <w:basedOn w:val="BodyText"/>
    <w:rsid w:val="007B4030"/>
    <w:pPr>
      <w:tabs>
        <w:tab w:val="left" w:pos="1021"/>
      </w:tabs>
      <w:spacing w:before="60" w:after="60"/>
      <w:ind w:left="1020" w:hanging="340"/>
    </w:pPr>
  </w:style>
  <w:style w:type="paragraph" w:styleId="List4">
    <w:name w:val="List 4"/>
    <w:basedOn w:val="BodyText"/>
    <w:rsid w:val="007B4030"/>
    <w:pPr>
      <w:tabs>
        <w:tab w:val="left" w:pos="1361"/>
      </w:tabs>
      <w:spacing w:before="60" w:after="60"/>
      <w:ind w:left="1361" w:hanging="340"/>
    </w:pPr>
  </w:style>
  <w:style w:type="paragraph" w:styleId="List5">
    <w:name w:val="List 5"/>
    <w:basedOn w:val="BodyText"/>
    <w:rsid w:val="007B4030"/>
    <w:pPr>
      <w:tabs>
        <w:tab w:val="left" w:pos="1701"/>
      </w:tabs>
      <w:spacing w:before="60" w:after="60"/>
      <w:ind w:left="1701" w:hanging="340"/>
    </w:pPr>
  </w:style>
  <w:style w:type="paragraph" w:styleId="ListBullet3">
    <w:name w:val="List Bullet 3"/>
    <w:basedOn w:val="List3"/>
    <w:rsid w:val="007B4030"/>
    <w:pPr>
      <w:numPr>
        <w:numId w:val="15"/>
      </w:numPr>
      <w:tabs>
        <w:tab w:val="clear" w:pos="1021"/>
      </w:tabs>
      <w:ind w:left="1037" w:hanging="357"/>
    </w:pPr>
  </w:style>
  <w:style w:type="paragraph" w:styleId="ListBullet4">
    <w:name w:val="List Bullet 4"/>
    <w:basedOn w:val="List4"/>
    <w:rsid w:val="007B4030"/>
    <w:pPr>
      <w:numPr>
        <w:numId w:val="3"/>
      </w:numPr>
      <w:tabs>
        <w:tab w:val="clear" w:pos="1361"/>
      </w:tabs>
    </w:pPr>
  </w:style>
  <w:style w:type="paragraph" w:styleId="ListBullet5">
    <w:name w:val="List Bullet 5"/>
    <w:basedOn w:val="List5"/>
    <w:rsid w:val="007B4030"/>
    <w:pPr>
      <w:numPr>
        <w:numId w:val="4"/>
      </w:numPr>
    </w:pPr>
  </w:style>
  <w:style w:type="paragraph" w:styleId="ListContinue2">
    <w:name w:val="List Continue 2"/>
    <w:basedOn w:val="List2"/>
    <w:rsid w:val="007B4030"/>
    <w:pPr>
      <w:ind w:firstLine="0"/>
    </w:pPr>
  </w:style>
  <w:style w:type="paragraph" w:styleId="ListContinue3">
    <w:name w:val="List Continue 3"/>
    <w:basedOn w:val="List3"/>
    <w:rsid w:val="007B4030"/>
    <w:pPr>
      <w:ind w:left="1021" w:firstLine="0"/>
    </w:pPr>
  </w:style>
  <w:style w:type="paragraph" w:styleId="ListContinue4">
    <w:name w:val="List Continue 4"/>
    <w:basedOn w:val="List4"/>
    <w:rsid w:val="007B4030"/>
    <w:pPr>
      <w:ind w:firstLine="0"/>
    </w:pPr>
  </w:style>
  <w:style w:type="paragraph" w:styleId="ListContinue5">
    <w:name w:val="List Continue 5"/>
    <w:basedOn w:val="List5"/>
    <w:rsid w:val="007B4030"/>
    <w:pPr>
      <w:ind w:firstLine="0"/>
    </w:pPr>
  </w:style>
  <w:style w:type="paragraph" w:styleId="ListNumber3">
    <w:name w:val="List Number 3"/>
    <w:basedOn w:val="List3"/>
    <w:rsid w:val="007B4030"/>
    <w:pPr>
      <w:numPr>
        <w:numId w:val="5"/>
      </w:numPr>
    </w:pPr>
  </w:style>
  <w:style w:type="paragraph" w:styleId="ListNumber4">
    <w:name w:val="List Number 4"/>
    <w:basedOn w:val="List4"/>
    <w:rsid w:val="007B4030"/>
    <w:pPr>
      <w:numPr>
        <w:numId w:val="6"/>
      </w:numPr>
    </w:pPr>
  </w:style>
  <w:style w:type="paragraph" w:styleId="ListNumber5">
    <w:name w:val="List Number 5"/>
    <w:basedOn w:val="List5"/>
    <w:rsid w:val="007B4030"/>
    <w:pPr>
      <w:numPr>
        <w:numId w:val="7"/>
      </w:numPr>
    </w:pPr>
  </w:style>
  <w:style w:type="paragraph" w:styleId="BlockText">
    <w:name w:val="Block Text"/>
    <w:basedOn w:val="Normal"/>
    <w:rsid w:val="007B4030"/>
    <w:pPr>
      <w:spacing w:after="120"/>
      <w:ind w:left="1440" w:right="1440"/>
    </w:pPr>
  </w:style>
  <w:style w:type="character" w:customStyle="1" w:styleId="Subscript">
    <w:name w:val="Subscript"/>
    <w:basedOn w:val="DefaultParagraphFont"/>
    <w:rsid w:val="007B4030"/>
    <w:rPr>
      <w:sz w:val="16"/>
      <w:vertAlign w:val="subscript"/>
    </w:rPr>
  </w:style>
  <w:style w:type="character" w:customStyle="1" w:styleId="Superscript">
    <w:name w:val="Superscript"/>
    <w:basedOn w:val="DefaultParagraphFont"/>
    <w:rsid w:val="007B4030"/>
    <w:rPr>
      <w:sz w:val="16"/>
      <w:vertAlign w:val="superscript"/>
    </w:rPr>
  </w:style>
  <w:style w:type="character" w:customStyle="1" w:styleId="Symbols">
    <w:name w:val="Symbols"/>
    <w:basedOn w:val="DefaultParagraphFont"/>
    <w:rsid w:val="007B4030"/>
    <w:rPr>
      <w:rFonts w:ascii="Symbol" w:hAnsi="Symbol"/>
    </w:rPr>
  </w:style>
  <w:style w:type="character" w:customStyle="1" w:styleId="MenuOptions">
    <w:name w:val="Menu Options"/>
    <w:basedOn w:val="DefaultParagraphFont"/>
    <w:rsid w:val="007B4030"/>
    <w:rPr>
      <w:rFonts w:ascii="Arial Narrow" w:hAnsi="Arial Narrow"/>
      <w:smallCaps/>
    </w:rPr>
  </w:style>
  <w:style w:type="character" w:customStyle="1" w:styleId="Buttons">
    <w:name w:val="Buttons"/>
    <w:basedOn w:val="DefaultParagraphFont"/>
    <w:rsid w:val="007B4030"/>
    <w:rPr>
      <w:b/>
    </w:rPr>
  </w:style>
  <w:style w:type="character" w:customStyle="1" w:styleId="Underlined">
    <w:name w:val="Underlined"/>
    <w:basedOn w:val="DefaultParagraphFont"/>
    <w:rsid w:val="007B4030"/>
    <w:rPr>
      <w:u w:val="single"/>
    </w:rPr>
  </w:style>
  <w:style w:type="paragraph" w:customStyle="1" w:styleId="TableBodyTextRight">
    <w:name w:val="Table Body Text Right"/>
    <w:basedOn w:val="TableBodyText"/>
    <w:rsid w:val="007B4030"/>
    <w:pPr>
      <w:widowControl w:val="0"/>
      <w:autoSpaceDE w:val="0"/>
      <w:autoSpaceDN w:val="0"/>
      <w:adjustRightInd w:val="0"/>
      <w:jc w:val="right"/>
    </w:pPr>
    <w:rPr>
      <w:rFonts w:cs="Arial"/>
      <w:szCs w:val="18"/>
    </w:rPr>
  </w:style>
  <w:style w:type="paragraph" w:customStyle="1" w:styleId="CopyrightText">
    <w:name w:val="Copyright Text"/>
    <w:basedOn w:val="BodyText"/>
    <w:rsid w:val="007B4030"/>
    <w:rPr>
      <w:sz w:val="18"/>
    </w:rPr>
  </w:style>
  <w:style w:type="paragraph" w:customStyle="1" w:styleId="BodySmallRight">
    <w:name w:val="Body Small Right"/>
    <w:basedOn w:val="BodyTextRight"/>
    <w:rsid w:val="007B4030"/>
    <w:rPr>
      <w:sz w:val="18"/>
      <w:szCs w:val="18"/>
    </w:rPr>
  </w:style>
  <w:style w:type="paragraph" w:customStyle="1" w:styleId="MarginEdition">
    <w:name w:val="Margin Edition"/>
    <w:basedOn w:val="MarginNote"/>
    <w:rsid w:val="007B4030"/>
    <w:pPr>
      <w:spacing w:before="0" w:after="0"/>
    </w:pPr>
    <w:rPr>
      <w:rFonts w:ascii="Times New Roman" w:hAnsi="Times New Roman"/>
      <w:color w:val="999999"/>
    </w:rPr>
  </w:style>
  <w:style w:type="paragraph" w:customStyle="1" w:styleId="Spacer">
    <w:name w:val="Spacer"/>
    <w:basedOn w:val="Normal"/>
    <w:rsid w:val="007B4030"/>
    <w:rPr>
      <w:sz w:val="2"/>
      <w:szCs w:val="2"/>
    </w:rPr>
  </w:style>
  <w:style w:type="character" w:customStyle="1" w:styleId="Small">
    <w:name w:val="Small"/>
    <w:basedOn w:val="DefaultParagraphFont"/>
    <w:rsid w:val="007B4030"/>
    <w:rPr>
      <w:sz w:val="16"/>
    </w:rPr>
  </w:style>
  <w:style w:type="paragraph" w:customStyle="1" w:styleId="WideTable">
    <w:name w:val="Wide Table"/>
    <w:basedOn w:val="Normal"/>
    <w:rsid w:val="007B4030"/>
    <w:pPr>
      <w:ind w:left="-1418"/>
    </w:pPr>
    <w:rPr>
      <w:sz w:val="2"/>
      <w:szCs w:val="2"/>
    </w:rPr>
  </w:style>
  <w:style w:type="character" w:styleId="PageNumber">
    <w:name w:val="page number"/>
    <w:basedOn w:val="DefaultParagraphFont"/>
    <w:rsid w:val="007B4030"/>
  </w:style>
  <w:style w:type="paragraph" w:styleId="Quote">
    <w:name w:val="Quote"/>
    <w:basedOn w:val="Heading1"/>
    <w:link w:val="QuoteChar"/>
    <w:qFormat/>
    <w:rsid w:val="007B4030"/>
    <w:rPr>
      <w:b w:val="0"/>
      <w:sz w:val="72"/>
      <w:szCs w:val="72"/>
      <w:lang w:val="en-NZ"/>
    </w:rPr>
  </w:style>
  <w:style w:type="character" w:customStyle="1" w:styleId="QuoteChar">
    <w:name w:val="Quote Char"/>
    <w:basedOn w:val="DefaultParagraphFont"/>
    <w:link w:val="Quote"/>
    <w:rsid w:val="007B4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4030"/>
    <w:pPr>
      <w:pageBreakBefore/>
    </w:pPr>
  </w:style>
  <w:style w:type="paragraph" w:customStyle="1" w:styleId="Border">
    <w:name w:val="Border"/>
    <w:basedOn w:val="Normal"/>
    <w:qFormat/>
    <w:rsid w:val="007B4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4030"/>
    <w:rPr>
      <w:b/>
      <w:bCs/>
      <w:i/>
      <w:iCs/>
      <w:color w:val="auto"/>
    </w:rPr>
  </w:style>
  <w:style w:type="paragraph" w:styleId="IntenseQuote">
    <w:name w:val="Intense Quote"/>
    <w:basedOn w:val="Normal"/>
    <w:next w:val="Normal"/>
    <w:link w:val="IntenseQuoteChar"/>
    <w:uiPriority w:val="30"/>
    <w:qFormat/>
    <w:rsid w:val="007B4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4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4030"/>
    <w:rPr>
      <w:smallCaps/>
      <w:color w:val="auto"/>
      <w:u w:val="single"/>
    </w:rPr>
  </w:style>
  <w:style w:type="character" w:styleId="IntenseReference">
    <w:name w:val="Intense Reference"/>
    <w:basedOn w:val="DefaultParagraphFont"/>
    <w:uiPriority w:val="32"/>
    <w:qFormat/>
    <w:rsid w:val="007B4030"/>
    <w:rPr>
      <w:b/>
      <w:bCs/>
      <w:smallCaps/>
      <w:color w:val="auto"/>
      <w:spacing w:val="5"/>
      <w:u w:val="single"/>
    </w:rPr>
  </w:style>
  <w:style w:type="paragraph" w:customStyle="1" w:styleId="2ColumnHeading">
    <w:name w:val="2Column Heading"/>
    <w:basedOn w:val="BodyText"/>
    <w:qFormat/>
    <w:rsid w:val="007B4030"/>
    <w:pPr>
      <w:spacing w:after="60"/>
      <w:ind w:left="-2268"/>
    </w:pPr>
    <w:rPr>
      <w:b/>
    </w:rPr>
  </w:style>
  <w:style w:type="paragraph" w:customStyle="1" w:styleId="Heading1TOC">
    <w:name w:val="Heading1 TOC"/>
    <w:basedOn w:val="Normal"/>
    <w:qFormat/>
    <w:rsid w:val="007B4030"/>
    <w:pPr>
      <w:spacing w:before="240" w:after="120"/>
    </w:pPr>
    <w:rPr>
      <w:rFonts w:ascii="Times New Roman" w:hAnsi="Times New Roman"/>
      <w:b/>
      <w:sz w:val="32"/>
    </w:rPr>
  </w:style>
  <w:style w:type="paragraph" w:customStyle="1" w:styleId="Heading2TOC">
    <w:name w:val="Heading2 TOC"/>
    <w:basedOn w:val="Normal"/>
    <w:qFormat/>
    <w:rsid w:val="007B4030"/>
    <w:pPr>
      <w:spacing w:before="240" w:after="60"/>
    </w:pPr>
    <w:rPr>
      <w:rFonts w:ascii="Times New Roman" w:hAnsi="Times New Roman"/>
      <w:b/>
      <w:sz w:val="28"/>
    </w:rPr>
  </w:style>
  <w:style w:type="character" w:customStyle="1" w:styleId="Underline">
    <w:name w:val="Underline"/>
    <w:basedOn w:val="DefaultParagraphFont"/>
    <w:qFormat/>
    <w:rsid w:val="007B4030"/>
    <w:rPr>
      <w:u w:val="single"/>
    </w:rPr>
  </w:style>
  <w:style w:type="character" w:customStyle="1" w:styleId="BoldandItalics">
    <w:name w:val="Bold and Italics"/>
    <w:qFormat/>
    <w:rsid w:val="007B4030"/>
    <w:rPr>
      <w:b/>
      <w:i/>
      <w:u w:val="none"/>
    </w:rPr>
  </w:style>
  <w:style w:type="paragraph" w:styleId="BalloonText">
    <w:name w:val="Balloon Text"/>
    <w:basedOn w:val="Normal"/>
    <w:link w:val="BalloonTextChar"/>
    <w:rsid w:val="007B4030"/>
    <w:rPr>
      <w:rFonts w:ascii="Tahoma" w:hAnsi="Tahoma" w:cs="Tahoma"/>
      <w:sz w:val="16"/>
      <w:szCs w:val="16"/>
    </w:rPr>
  </w:style>
  <w:style w:type="character" w:customStyle="1" w:styleId="BalloonTextChar">
    <w:name w:val="Balloon Text Char"/>
    <w:basedOn w:val="DefaultParagraphFont"/>
    <w:link w:val="BalloonText"/>
    <w:rsid w:val="007B4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40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4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4030"/>
    <w:rPr>
      <w:b/>
      <w:color w:val="660033"/>
      <w:spacing w:val="0"/>
    </w:rPr>
  </w:style>
  <w:style w:type="paragraph" w:customStyle="1" w:styleId="Nameditemlist">
    <w:name w:val="Named item list"/>
    <w:basedOn w:val="BodyText"/>
    <w:qFormat/>
    <w:rsid w:val="007B40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683</Words>
  <Characters>4227</Characters>
  <Application>Microsoft Office Word</Application>
  <DocSecurity>0</DocSecurity>
  <Lines>153</Lines>
  <Paragraphs>85</Paragraphs>
  <ScaleCrop>false</ScaleCrop>
  <Company>Author-it Software Corporation Ltd.</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PMC80116 Graduate Certificate in Refractories Engineering</dc:title>
  <dc:subject>Approved</dc:subject>
  <dc:creator>Manufacturing Skills Australia</dc:creator>
  <cp:keywords>Release 1</cp:keywords>
  <dc:description>Review Date: 12 April 2008</dc:description>
  <cp:lastModifiedBy>HSD_TPCMSd.prod</cp:lastModifiedBy>
  <cp:revision>3</cp:revision>
  <dcterms:created xsi:type="dcterms:W3CDTF">2016-06-22T18:55:07Z</dcterms:created>
  <dcterms:modified xsi:type="dcterms:W3CDTF">2016-06-20T10:44:00Z</dcterms:modified>
</cp:coreProperties>
</file>