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4E6" w:rsidP="00011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PMC562081 Deliver customer service</w:t>
      </w:r>
      <w:r>
        <w:fldChar w:fldCharType="end"/>
      </w:r>
    </w:p>
    <w:p w:rsidR="000114E6" w:rsidP="000114E6">
      <w:pPr>
        <w:pStyle w:val="Version"/>
        <w:sectPr w:rsidSect="00601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CFB" w:rsidP="00601CFB">
      <w:pPr>
        <w:pStyle w:val="SuperHeading"/>
      </w:pPr>
      <w:r w:rsidRPr="00601CFB">
        <w:t>PMC562081 Deliver customer service</w:t>
      </w:r>
    </w:p>
    <w:p w:rsidR="00000000" w:rsidRPr="00601CFB" w:rsidP="00601CFB">
      <w:pPr>
        <w:pStyle w:val="Heading1"/>
      </w:pPr>
      <w:bookmarkStart w:id="1" w:name="O_929611"/>
      <w:bookmarkEnd w:id="1"/>
      <w:r w:rsidRPr="00601CFB">
        <w:t>Modification History</w:t>
      </w:r>
    </w:p>
    <w:p w:rsidR="00000000" w:rsidRPr="00601CFB" w:rsidP="00601CFB">
      <w:pPr>
        <w:pStyle w:val="BodyText"/>
      </w:pPr>
      <w:r w:rsidRPr="00601CFB">
        <w:t xml:space="preserve">Release 1. Supersedes and is equivalent to PMC562081B Deliver customer service  </w:t>
      </w:r>
    </w:p>
    <w:p w:rsidR="00000000" w:rsidRPr="00601CFB" w:rsidP="00601CFB">
      <w:pPr>
        <w:pStyle w:val="AllowPageBreak"/>
      </w:pPr>
    </w:p>
    <w:p w:rsidR="00000000" w:rsidRPr="00601CFB" w:rsidP="00601CFB">
      <w:pPr>
        <w:pStyle w:val="Heading1"/>
      </w:pPr>
      <w:bookmarkStart w:id="2" w:name="O_929619"/>
      <w:bookmarkEnd w:id="2"/>
      <w:r w:rsidRPr="00601CFB">
        <w:t>Application</w:t>
      </w:r>
    </w:p>
    <w:p w:rsidR="00000000" w:rsidRPr="00601CFB" w:rsidP="00601CFB">
      <w:pPr>
        <w:pStyle w:val="BodyText"/>
      </w:pPr>
      <w:r w:rsidRPr="00601CFB">
        <w:t xml:space="preserve">This unit of competency covers the skills and knowledge required to deliver customer service in the workplace. It applies to </w:t>
      </w:r>
      <w:r w:rsidRPr="00601CFB">
        <w:t xml:space="preserve">customers within the organisation and external customers, for example, where the operator takes orders or delivers product.  </w:t>
      </w:r>
    </w:p>
    <w:p w:rsidR="00000000" w:rsidRPr="00601CFB" w:rsidP="00601CFB">
      <w:pPr>
        <w:pStyle w:val="BodyText"/>
      </w:pPr>
    </w:p>
    <w:p w:rsidR="00000000" w:rsidRPr="00601CFB" w:rsidP="00601CFB">
      <w:pPr>
        <w:pStyle w:val="BodyText"/>
      </w:pPr>
      <w:r w:rsidRPr="00601CFB">
        <w:t>This unit of competency applies to operators who are required to identify customer requirements, ensure products meet customer re</w:t>
      </w:r>
      <w:r w:rsidRPr="00601CFB">
        <w:t xml:space="preserve">quirements, deal with customer requests and identify areas for improvement. </w:t>
      </w:r>
    </w:p>
    <w:p w:rsidR="00000000" w:rsidRPr="00601CFB" w:rsidP="00601CFB">
      <w:pPr>
        <w:pStyle w:val="BodyText"/>
      </w:pPr>
    </w:p>
    <w:p w:rsidR="00000000" w:rsidRPr="00601CFB" w:rsidP="00601CFB">
      <w:pPr>
        <w:pStyle w:val="BodyText"/>
      </w:pPr>
      <w:r w:rsidRPr="00601CFB">
        <w:t xml:space="preserve">This unit of competency applies to an individual working alone or as part of a team or group and working in liaison with other shift team members, team leader and supervisor, as </w:t>
      </w:r>
      <w:r w:rsidRPr="00601CFB">
        <w:t>appropriate.</w:t>
      </w:r>
    </w:p>
    <w:p w:rsidR="00000000" w:rsidRPr="00601CFB" w:rsidP="00601CFB">
      <w:pPr>
        <w:pStyle w:val="BodyText"/>
      </w:pPr>
    </w:p>
    <w:p w:rsidR="00000000" w:rsidRPr="00601CFB" w:rsidP="00601CFB">
      <w:pPr>
        <w:pStyle w:val="BodyText"/>
      </w:pPr>
      <w:r w:rsidRPr="00601CFB">
        <w:t>No licensing, legislative or certification requirements apply to this unit at the time of publication.</w:t>
      </w:r>
    </w:p>
    <w:p w:rsidR="00000000" w:rsidRPr="00601CFB" w:rsidP="00601CFB">
      <w:pPr>
        <w:pStyle w:val="AllowPageBreak"/>
      </w:pPr>
    </w:p>
    <w:p w:rsidR="00000000" w:rsidRPr="00601CFB" w:rsidP="00601CFB">
      <w:pPr>
        <w:pStyle w:val="Heading1"/>
      </w:pPr>
      <w:bookmarkStart w:id="3" w:name="O_929618"/>
      <w:bookmarkEnd w:id="3"/>
      <w:r w:rsidRPr="00601CFB">
        <w:t>Pre-requisite Unit</w:t>
      </w:r>
    </w:p>
    <w:p w:rsidR="00000000" w:rsidRPr="00601CFB" w:rsidP="00601CFB">
      <w:pPr>
        <w:pStyle w:val="BodyText"/>
      </w:pPr>
      <w:r w:rsidRPr="00601CFB">
        <w:t>Nil</w:t>
      </w:r>
    </w:p>
    <w:p w:rsidR="00000000" w:rsidRPr="00601CFB" w:rsidP="00601CFB">
      <w:pPr>
        <w:pStyle w:val="AllowPageBreak"/>
      </w:pPr>
    </w:p>
    <w:p w:rsidR="00000000" w:rsidRPr="00601CFB" w:rsidP="00601CFB">
      <w:pPr>
        <w:pStyle w:val="Heading1"/>
      </w:pPr>
      <w:bookmarkStart w:id="4" w:name="O_929617"/>
      <w:bookmarkEnd w:id="4"/>
      <w:r w:rsidRPr="00601CFB">
        <w:t>Competency Field</w:t>
      </w:r>
    </w:p>
    <w:p w:rsidR="00000000" w:rsidRPr="00601CFB" w:rsidP="00601CFB">
      <w:pPr>
        <w:pStyle w:val="BodyText"/>
      </w:pPr>
      <w:r w:rsidRPr="00601CFB">
        <w:t>Support</w:t>
      </w:r>
    </w:p>
    <w:p w:rsidR="00000000" w:rsidRPr="00601CFB" w:rsidP="00601CFB">
      <w:pPr>
        <w:pStyle w:val="AllowPageBreak"/>
      </w:pPr>
    </w:p>
    <w:p w:rsidR="00000000" w:rsidRPr="00601CFB" w:rsidP="00601CFB">
      <w:pPr>
        <w:pStyle w:val="Heading1"/>
      </w:pPr>
      <w:bookmarkStart w:id="5" w:name="O_929616"/>
      <w:bookmarkEnd w:id="5"/>
      <w:r w:rsidRPr="00601CFB">
        <w:t>Unit Sector</w:t>
      </w:r>
    </w:p>
    <w:p w:rsidR="00000000" w:rsidRPr="00601CFB" w:rsidP="00601CFB">
      <w:pPr>
        <w:pStyle w:val="BodyText"/>
      </w:pPr>
      <w:r w:rsidRPr="00601CFB">
        <w:t>Not applicable</w:t>
      </w:r>
    </w:p>
    <w:p w:rsidR="00000000" w:rsidRPr="00601CFB" w:rsidP="00601CFB">
      <w:pPr>
        <w:pStyle w:val="AllowPageBreak"/>
      </w:pPr>
    </w:p>
    <w:p w:rsidR="00000000" w:rsidRPr="00601CFB" w:rsidP="00601CFB">
      <w:pPr>
        <w:pStyle w:val="Heading1"/>
      </w:pPr>
      <w:bookmarkStart w:id="6" w:name="O_929615"/>
      <w:bookmarkEnd w:id="6"/>
      <w:r w:rsidRPr="00601C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Performance criteria describe the performance needed to demonstrate achievement of the element.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CFB" w:rsidP="00601CFB">
            <w:pPr>
              <w:pStyle w:val="BodyText"/>
            </w:pPr>
            <w:r w:rsidRPr="00601CF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rPr>
                <w:rStyle w:val="SpecialBold"/>
              </w:rPr>
              <w:t>Identify customer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Identify company/team objectives and key performance indicators (KPIs) in meeting internal and external customer requirements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Explain the role of the quality system in meeting customer requirements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Identify the role of the individual and the team in meeting these requirements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CFB" w:rsidP="00601CFB">
            <w:pPr>
              <w:pStyle w:val="BodyText"/>
            </w:pPr>
            <w:r w:rsidRPr="00601CF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rPr>
                <w:rStyle w:val="SpecialBold"/>
              </w:rPr>
              <w:t>Respond to customer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Use effective questioning and listening techniques to identify customer requirements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Use quality assurance systems to ensure products and services meet customer requirements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Display a helpful and courteous attitude when responding to customer enquiries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Ensure up to date advice and product knowledge is supplied to customers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Deal with all customer requests in a timely manner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Complete all company documentation/records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Follow up customer requests and provide feedback to customers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CFB" w:rsidP="00601CFB">
            <w:pPr>
              <w:pStyle w:val="BodyText"/>
            </w:pPr>
            <w:r w:rsidRPr="00601CF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rPr>
                <w:rStyle w:val="SpecialBold"/>
              </w:rPr>
              <w:t>Improve customer service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Identify methods of improving customer service and make recommendations to appropriate personnel for improvements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Implement improvements in customer service</w:t>
            </w:r>
          </w:p>
        </w:tc>
      </w:tr>
      <w:tr w:rsidTr="00601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CFB" w:rsidP="00601CFB">
            <w:pPr>
              <w:pStyle w:val="BodyText"/>
            </w:pPr>
            <w:r w:rsidRPr="00601CFB">
              <w:t>Provide reports and appropriate feedback in accordance with company requirements</w:t>
            </w:r>
          </w:p>
        </w:tc>
      </w:tr>
    </w:tbl>
    <w:p w:rsidR="00000000" w:rsidRPr="00601CFB" w:rsidP="00601CFB">
      <w:pPr>
        <w:pStyle w:val="BodyText"/>
      </w:pPr>
    </w:p>
    <w:p w:rsidR="00000000" w:rsidRPr="00601CFB" w:rsidP="00601CFB">
      <w:pPr>
        <w:pStyle w:val="AllowPageBreak"/>
      </w:pPr>
    </w:p>
    <w:p w:rsidR="00000000" w:rsidRPr="00601CFB" w:rsidP="00601CFB">
      <w:pPr>
        <w:pStyle w:val="Heading1"/>
      </w:pPr>
      <w:bookmarkStart w:id="7" w:name="O_929614"/>
      <w:bookmarkEnd w:id="7"/>
      <w:r w:rsidRPr="00601CFB">
        <w:t>Foundation Skills</w:t>
      </w:r>
    </w:p>
    <w:p w:rsidR="00000000" w:rsidRPr="00601CFB" w:rsidP="00601CFB">
      <w:pPr>
        <w:pStyle w:val="BodyText"/>
      </w:pPr>
      <w:r w:rsidRPr="00601CFB">
        <w:t>This section describes those required skills (language, literacy and numeracy) that are essential to performance.</w:t>
      </w:r>
    </w:p>
    <w:p w:rsidR="00000000" w:rsidRPr="00601CFB" w:rsidP="00601CFB">
      <w:pPr>
        <w:pStyle w:val="BodyText"/>
      </w:pPr>
    </w:p>
    <w:p w:rsidR="00000000" w:rsidRPr="00601CFB" w:rsidP="00601CFB">
      <w:pPr>
        <w:pStyle w:val="BodyText"/>
      </w:pPr>
      <w:r w:rsidRPr="00601CFB">
        <w:t>Foundation skills essential to performance are explicit in the performance criteria of this unit of compete</w:t>
      </w:r>
      <w:r w:rsidRPr="00601CFB">
        <w:t>ncy.</w:t>
      </w:r>
    </w:p>
    <w:p w:rsidR="00000000" w:rsidRPr="00601CFB" w:rsidP="00601CFB">
      <w:pPr>
        <w:pStyle w:val="AllowPageBreak"/>
      </w:pPr>
    </w:p>
    <w:p w:rsidR="00000000" w:rsidRPr="00601CFB" w:rsidP="00601CFB">
      <w:pPr>
        <w:pStyle w:val="Heading1"/>
      </w:pPr>
      <w:bookmarkStart w:id="8" w:name="O_929613"/>
      <w:bookmarkEnd w:id="8"/>
      <w:r w:rsidRPr="00601CF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2"/>
        <w:gridCol w:w="6954"/>
      </w:tblGrid>
      <w:tr w:rsidTr="000114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601CFB">
              <w:t>ty of the item, and local industry and regional contexts) are included.</w:t>
            </w:r>
          </w:p>
        </w:tc>
      </w:tr>
      <w:tr w:rsidTr="000114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CFB" w:rsidP="00601CFB">
            <w:pPr>
              <w:pStyle w:val="BodyText"/>
            </w:pPr>
            <w:r w:rsidRPr="00601CFB">
              <w:rPr>
                <w:rStyle w:val="SpecialBold"/>
              </w:rPr>
              <w:t>Regulatory framework</w:t>
            </w:r>
            <w:r w:rsidRPr="00601CFB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CFB" w:rsidP="00601CFB">
            <w:pPr>
              <w:pStyle w:val="BodyText"/>
            </w:pPr>
            <w:r w:rsidRPr="00601CFB">
              <w:t xml:space="preserve">The latest version of all legislation, regulations, industry codes of practice and Australian/international standards, or the version specified </w:t>
            </w:r>
            <w:r w:rsidRPr="00601CFB">
              <w:t>by the local regulatory authority, must be used.</w:t>
            </w:r>
          </w:p>
          <w:p w:rsidR="00000000" w:rsidRPr="00601CFB" w:rsidP="00601CFB">
            <w:pPr>
              <w:pStyle w:val="BodyText"/>
            </w:pPr>
          </w:p>
          <w:p w:rsidR="00000000" w:rsidRPr="00601CFB" w:rsidP="00601CFB">
            <w:pPr>
              <w:pStyle w:val="BodyText"/>
            </w:pPr>
            <w:r w:rsidRPr="00601CFB">
              <w:t>Applicable legislation, regulations, standards and codes of practice include:</w:t>
            </w:r>
          </w:p>
          <w:p w:rsidR="00000000" w:rsidRPr="00601CFB" w:rsidP="00601CFB">
            <w:pPr>
              <w:pStyle w:val="ListBullet"/>
            </w:pPr>
            <w:r w:rsidRPr="00601CFB">
              <w:t xml:space="preserve">health, safety and environmental (HSE) legislation, regulations and codes of practice relevant to the workplace, equipment and </w:t>
            </w:r>
            <w:r w:rsidRPr="00601CFB">
              <w:t>production processes and hazardous materials</w:t>
            </w:r>
          </w:p>
          <w:p w:rsidR="00000000" w:rsidRPr="00601CFB" w:rsidP="00601CFB">
            <w:pPr>
              <w:pStyle w:val="ListBullet"/>
            </w:pPr>
            <w:r w:rsidRPr="00601CFB">
              <w:t xml:space="preserve">Australian/international standards relevant to the materials being used and products being made </w:t>
            </w:r>
          </w:p>
          <w:p w:rsidR="00000000" w:rsidRPr="00601CFB" w:rsidP="00601CFB">
            <w:pPr>
              <w:pStyle w:val="ListBullet"/>
            </w:pPr>
            <w:r w:rsidRPr="00601CFB">
              <w:t>any relevant licence and certification requirements.</w:t>
            </w:r>
          </w:p>
          <w:p w:rsidR="00000000" w:rsidRPr="00601CFB" w:rsidP="00601CFB">
            <w:pPr>
              <w:pStyle w:val="BodyText"/>
            </w:pPr>
          </w:p>
          <w:p w:rsidR="00000000" w:rsidRPr="00601CFB" w:rsidP="00601CFB">
            <w:pPr>
              <w:pStyle w:val="BodyText"/>
            </w:pPr>
            <w:r w:rsidRPr="00601CFB">
              <w:t>All operations to which this unit applies are subject to str</w:t>
            </w:r>
            <w:r w:rsidRPr="00601CFB">
              <w:t>ingent HSE requirements, which may be imposed through state/territory or federal legislation, and these must not be compromised at any time. Where there is an apparent conflict between performance criteria and such requirements the legislative requirements</w:t>
            </w:r>
            <w:r w:rsidRPr="00601CFB">
              <w:t xml:space="preserve"> take precedence.</w:t>
            </w:r>
          </w:p>
          <w:p w:rsidR="00000000" w:rsidP="00601CFB">
            <w:pPr>
              <w:pStyle w:val="BodyText"/>
              <w:rPr>
                <w:lang w:val="en-NZ"/>
              </w:rPr>
            </w:pPr>
          </w:p>
        </w:tc>
      </w:tr>
      <w:tr w:rsidTr="000114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CFB" w:rsidP="00601CFB">
            <w:pPr>
              <w:pStyle w:val="BodyText"/>
            </w:pPr>
            <w:r w:rsidRPr="00601CFB">
              <w:t>All operations must be performed in accordance with relevant procedures.</w:t>
            </w:r>
          </w:p>
          <w:p w:rsidR="00000000" w:rsidRPr="00601CFB" w:rsidP="00601CFB">
            <w:pPr>
              <w:pStyle w:val="BodyText"/>
            </w:pPr>
          </w:p>
          <w:p w:rsidR="00000000" w:rsidRPr="00601CFB" w:rsidP="00601CFB">
            <w:pPr>
              <w:pStyle w:val="BodyText"/>
            </w:pPr>
            <w:r w:rsidRPr="00601CFB">
              <w:t>Procedures are written, verbal, visual, computer-based or in some other form, and include one or any combination of:</w:t>
            </w:r>
          </w:p>
          <w:p w:rsidR="00000000" w:rsidRPr="00601CFB" w:rsidP="00601CFB">
            <w:pPr>
              <w:pStyle w:val="ListBullet"/>
            </w:pPr>
            <w:r w:rsidRPr="00601CFB">
              <w:t xml:space="preserve">manufacturer's technical information </w:t>
            </w:r>
          </w:p>
          <w:p w:rsidR="00000000" w:rsidRPr="00601CFB" w:rsidP="00601CFB">
            <w:pPr>
              <w:pStyle w:val="ListBullet"/>
            </w:pPr>
            <w:r w:rsidRPr="00601CFB">
              <w:t>job cards</w:t>
            </w:r>
          </w:p>
          <w:p w:rsidR="00000000" w:rsidRPr="00601CFB" w:rsidP="00601CFB">
            <w:pPr>
              <w:pStyle w:val="ListBullet"/>
            </w:pPr>
            <w:r w:rsidRPr="00601CFB">
              <w:t>drawings</w:t>
            </w:r>
          </w:p>
          <w:p w:rsidR="00000000" w:rsidRPr="00601CFB" w:rsidP="00601CFB">
            <w:pPr>
              <w:pStyle w:val="ListBullet"/>
            </w:pPr>
            <w:r w:rsidRPr="00601CFB">
              <w:t>emergency procedures</w:t>
            </w:r>
          </w:p>
          <w:p w:rsidR="00000000" w:rsidRPr="00601CFB" w:rsidP="00601CFB">
            <w:pPr>
              <w:pStyle w:val="ListBullet"/>
            </w:pPr>
            <w:r w:rsidRPr="00601CFB">
              <w:t>work instructions</w:t>
            </w:r>
          </w:p>
          <w:p w:rsidR="00000000" w:rsidRPr="00601CFB" w:rsidP="00601CFB">
            <w:pPr>
              <w:pStyle w:val="ListBullet"/>
            </w:pPr>
            <w:r w:rsidRPr="00601CFB">
              <w:t>standard operating procedures (SOPs)</w:t>
            </w:r>
          </w:p>
          <w:p w:rsidR="00000000" w:rsidRPr="00601CFB" w:rsidP="00601CFB">
            <w:pPr>
              <w:pStyle w:val="ListBullet"/>
            </w:pPr>
            <w:r w:rsidRPr="00601CFB">
              <w:t>safe work method statements (SWMS)</w:t>
            </w:r>
          </w:p>
          <w:p w:rsidR="00000000" w:rsidRPr="00601CFB" w:rsidP="00601CFB">
            <w:pPr>
              <w:pStyle w:val="ListBullet"/>
            </w:pPr>
            <w:r w:rsidRPr="00601CFB">
              <w:t>formulas/recipes</w:t>
            </w:r>
          </w:p>
          <w:p w:rsidR="00000000" w:rsidRPr="00601CFB" w:rsidP="00601CFB">
            <w:pPr>
              <w:pStyle w:val="ListBullet"/>
            </w:pPr>
            <w:r w:rsidRPr="00601CFB">
              <w:t>batch sheets</w:t>
            </w:r>
          </w:p>
          <w:p w:rsidR="00000000" w:rsidRPr="00601CFB" w:rsidP="00601CFB">
            <w:pPr>
              <w:pStyle w:val="ListBullet"/>
            </w:pPr>
            <w:r w:rsidRPr="00601CFB">
              <w:t>temporary instructions</w:t>
            </w:r>
          </w:p>
          <w:p w:rsidR="00000000" w:rsidRPr="00601CFB" w:rsidP="00601CFB">
            <w:pPr>
              <w:pStyle w:val="ListBullet"/>
            </w:pPr>
            <w:r w:rsidRPr="00601CFB">
              <w:t>any similar instructions provided f</w:t>
            </w:r>
            <w:r w:rsidRPr="00601CFB">
              <w:t>or the smooth running of the plant.</w:t>
            </w:r>
          </w:p>
          <w:p w:rsidR="00000000" w:rsidP="00601CFB">
            <w:pPr>
              <w:pStyle w:val="BodyText"/>
              <w:rPr>
                <w:lang w:val="en-NZ"/>
              </w:rPr>
            </w:pPr>
          </w:p>
        </w:tc>
      </w:tr>
      <w:tr w:rsidTr="000114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CFB">
            <w:pPr>
              <w:pStyle w:val="BodyText"/>
              <w:rPr>
                <w:lang w:val="en-NZ"/>
              </w:rPr>
            </w:pPr>
            <w:r w:rsidRPr="00601CFB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CFB" w:rsidP="00601CFB">
            <w:pPr>
              <w:pStyle w:val="BodyText"/>
            </w:pPr>
            <w:r w:rsidRPr="00601CFB">
              <w:t>Records include one or more of:</w:t>
            </w:r>
          </w:p>
          <w:p w:rsidR="00000000" w:rsidRPr="00601CFB" w:rsidP="00601CFB">
            <w:pPr>
              <w:pStyle w:val="ListBullet"/>
            </w:pPr>
            <w:r w:rsidRPr="00601CFB">
              <w:t>log books/sheets</w:t>
            </w:r>
          </w:p>
          <w:p w:rsidR="00000000" w:rsidRPr="00601CFB" w:rsidP="00601CFB">
            <w:pPr>
              <w:pStyle w:val="ListBullet"/>
            </w:pPr>
            <w:r w:rsidRPr="00601CFB">
              <w:t>electronic records</w:t>
            </w:r>
          </w:p>
          <w:p w:rsidR="00000000" w:rsidRPr="00601CFB" w:rsidP="00601CFB">
            <w:pPr>
              <w:pStyle w:val="ListBullet"/>
            </w:pPr>
            <w:r w:rsidRPr="00601CFB">
              <w:t>job/work sheets</w:t>
            </w:r>
          </w:p>
          <w:p w:rsidR="00000000" w:rsidRPr="00601CFB" w:rsidP="00601CFB">
            <w:pPr>
              <w:pStyle w:val="ListBullet"/>
            </w:pPr>
            <w:r w:rsidRPr="00601CFB">
              <w:t>other records used for the smooth running of the plant.</w:t>
            </w:r>
          </w:p>
          <w:p w:rsidR="00000000" w:rsidRPr="00601CFB" w:rsidP="00601CFB">
            <w:pPr>
              <w:pStyle w:val="BodyText"/>
            </w:pPr>
          </w:p>
          <w:p w:rsidR="00000000" w:rsidRPr="00601CFB" w:rsidP="00601CFB">
            <w:pPr>
              <w:pStyle w:val="BodyText"/>
            </w:pPr>
            <w:r w:rsidRPr="00601CFB">
              <w:t>Reports include one or more of:</w:t>
            </w:r>
          </w:p>
          <w:p w:rsidR="00000000" w:rsidRPr="00601CFB" w:rsidP="00601CFB">
            <w:pPr>
              <w:pStyle w:val="ListBullet"/>
            </w:pPr>
            <w:r w:rsidRPr="00601CFB">
              <w:t>paper or electronic-based logs and reports</w:t>
            </w:r>
          </w:p>
          <w:p w:rsidR="00000000" w:rsidRPr="00601CFB" w:rsidP="00601CFB">
            <w:pPr>
              <w:pStyle w:val="ListBullet"/>
            </w:pPr>
            <w:r w:rsidRPr="00601CFB">
              <w:t>verbal/radio reports</w:t>
            </w:r>
          </w:p>
          <w:p w:rsidR="00000000" w:rsidRPr="00601CFB" w:rsidP="00601CFB">
            <w:pPr>
              <w:pStyle w:val="ListBullet"/>
            </w:pPr>
            <w:r w:rsidRPr="00601CFB">
              <w:t>reporting items found which require action.</w:t>
            </w:r>
          </w:p>
        </w:tc>
      </w:tr>
    </w:tbl>
    <w:p w:rsidR="00000000" w:rsidRPr="00601CFB" w:rsidP="00601CFB">
      <w:pPr>
        <w:pStyle w:val="BodyText"/>
      </w:pPr>
    </w:p>
    <w:p w:rsidR="00000000" w:rsidRPr="00601CFB" w:rsidP="00601CFB">
      <w:pPr>
        <w:pStyle w:val="AllowPageBreak"/>
      </w:pPr>
    </w:p>
    <w:p w:rsidR="00000000" w:rsidRPr="00601CFB" w:rsidP="00601CFB">
      <w:pPr>
        <w:pStyle w:val="Heading1"/>
      </w:pPr>
      <w:bookmarkStart w:id="9" w:name="O_929612"/>
      <w:bookmarkEnd w:id="9"/>
      <w:r w:rsidRPr="00601CFB">
        <w:t>Unit Mapping Information</w:t>
      </w:r>
    </w:p>
    <w:p w:rsidR="00000000" w:rsidRPr="00601CFB" w:rsidP="00601CFB">
      <w:pPr>
        <w:pStyle w:val="BodyText"/>
      </w:pPr>
      <w:r w:rsidRPr="00601CFB">
        <w:t xml:space="preserve">Release 1. Supersedes and is equivalent to PMC562081B Deliver customer service  </w:t>
      </w:r>
    </w:p>
    <w:p w:rsidR="00000000" w:rsidRPr="00601CFB" w:rsidP="00601CFB">
      <w:pPr>
        <w:pStyle w:val="AllowPageBreak"/>
      </w:pPr>
    </w:p>
    <w:p w:rsidR="00000000" w:rsidRPr="00601CFB" w:rsidP="00601CFB">
      <w:pPr>
        <w:pStyle w:val="Heading1"/>
      </w:pPr>
      <w:bookmarkStart w:id="10" w:name="O_929605"/>
      <w:bookmarkEnd w:id="10"/>
      <w:r w:rsidRPr="00601CFB">
        <w:t>Links</w:t>
      </w:r>
    </w:p>
    <w:p w:rsidR="00000000" w:rsidRPr="00601CFB" w:rsidP="00601CFB">
      <w:pPr>
        <w:pStyle w:val="BodyText"/>
      </w:pPr>
      <w:r w:rsidRPr="00601CFB">
        <w:t>MSA Training Package Implementation Guides - http://mskills.org.au/training-packages/info/</w:t>
      </w:r>
    </w:p>
    <w:p w:rsidR="00000000" w:rsidRPr="00601CFB" w:rsidP="00601CFB"/>
    <w:sectPr w:rsidSect="00601C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FB" w:rsidRPr="000114E6" w:rsidP="00011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E6" w:rsidP="00601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4E6" w:rsidP="00601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114E6" w:rsidP="00601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FB" w:rsidRPr="000114E6" w:rsidP="000114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E6" w:rsidRPr="002D2AF8" w:rsidP="00601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PMC562081 Deliver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114E6" w:rsidP="00601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60F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E8C9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CFB"/>
  </w:style>
  <w:style w:type="character" w:customStyle="1" w:styleId="Heading1Char">
    <w:name w:val="Heading 1 Char"/>
    <w:basedOn w:val="DefaultParagraphFont"/>
    <w:link w:val="Heading1"/>
    <w:rsid w:val="00601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C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C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CFB"/>
    <w:rPr>
      <w:b/>
      <w:spacing w:val="0"/>
    </w:rPr>
  </w:style>
  <w:style w:type="paragraph" w:customStyle="1" w:styleId="SuperHeading">
    <w:name w:val="SuperHeading"/>
    <w:basedOn w:val="Normal"/>
    <w:rsid w:val="00601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C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CFB"/>
    <w:rPr>
      <w:i/>
    </w:rPr>
  </w:style>
  <w:style w:type="paragraph" w:styleId="Caption">
    <w:name w:val="caption"/>
    <w:basedOn w:val="BodyText"/>
    <w:next w:val="Normal"/>
    <w:qFormat/>
    <w:rsid w:val="00601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CFB"/>
  </w:style>
  <w:style w:type="paragraph" w:styleId="TableofFigures">
    <w:name w:val="table of figures"/>
    <w:basedOn w:val="Normal"/>
    <w:next w:val="Normal"/>
    <w:semiHidden/>
    <w:rsid w:val="00601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CFB"/>
    <w:pPr>
      <w:numPr>
        <w:numId w:val="10"/>
      </w:numPr>
    </w:pPr>
  </w:style>
  <w:style w:type="character" w:customStyle="1" w:styleId="WingdingSymbols">
    <w:name w:val="Wingding Symbols"/>
    <w:rsid w:val="00601CFB"/>
    <w:rPr>
      <w:rFonts w:ascii="Wingdings" w:hAnsi="Wingdings"/>
    </w:rPr>
  </w:style>
  <w:style w:type="paragraph" w:customStyle="1" w:styleId="TableHeading">
    <w:name w:val="Table Heading"/>
    <w:basedOn w:val="HeadingBase"/>
    <w:rsid w:val="00601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CFB"/>
    <w:rPr>
      <w:color w:val="0033CC"/>
      <w:u w:val="none"/>
    </w:rPr>
  </w:style>
  <w:style w:type="paragraph" w:customStyle="1" w:styleId="BodyTextRight">
    <w:name w:val="Body Text Right"/>
    <w:basedOn w:val="BodyText"/>
    <w:rsid w:val="00601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CFB"/>
    <w:rPr>
      <w:sz w:val="32"/>
    </w:rPr>
  </w:style>
  <w:style w:type="paragraph" w:customStyle="1" w:styleId="HeadingProcedure">
    <w:name w:val="Heading Procedure"/>
    <w:basedOn w:val="HeadingBase"/>
    <w:next w:val="Normal"/>
    <w:rsid w:val="00601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CFB"/>
    <w:pPr>
      <w:spacing w:before="60" w:after="60"/>
    </w:pPr>
  </w:style>
  <w:style w:type="paragraph" w:styleId="ListContinue">
    <w:name w:val="List Continue"/>
    <w:basedOn w:val="List"/>
    <w:rsid w:val="00601CFB"/>
    <w:pPr>
      <w:ind w:firstLine="0"/>
    </w:pPr>
  </w:style>
  <w:style w:type="paragraph" w:customStyle="1" w:styleId="ListNote">
    <w:name w:val="List Note"/>
    <w:basedOn w:val="List"/>
    <w:rsid w:val="00601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CFB"/>
    <w:rPr>
      <w:rFonts w:ascii="Courier New" w:hAnsi="Courier New"/>
    </w:rPr>
  </w:style>
  <w:style w:type="paragraph" w:customStyle="1" w:styleId="NoteBullet">
    <w:name w:val="Note Bullet"/>
    <w:basedOn w:val="Note"/>
    <w:rsid w:val="00601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C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CFB"/>
    <w:rPr>
      <w:b/>
      <w:smallCaps/>
    </w:rPr>
  </w:style>
  <w:style w:type="paragraph" w:customStyle="1" w:styleId="TableListNumber">
    <w:name w:val="Table List Number"/>
    <w:basedOn w:val="ListNumber"/>
    <w:rsid w:val="00601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CFB"/>
    <w:pPr>
      <w:numPr>
        <w:numId w:val="8"/>
      </w:numPr>
    </w:pPr>
  </w:style>
  <w:style w:type="paragraph" w:customStyle="1" w:styleId="ListAlpha2">
    <w:name w:val="List Alpha 2"/>
    <w:basedOn w:val="List2"/>
    <w:rsid w:val="00601CFB"/>
    <w:pPr>
      <w:numPr>
        <w:numId w:val="7"/>
      </w:numPr>
    </w:pPr>
  </w:style>
  <w:style w:type="paragraph" w:styleId="List2">
    <w:name w:val="List 2"/>
    <w:basedOn w:val="BodyText"/>
    <w:rsid w:val="00601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C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1CFB"/>
    <w:pPr>
      <w:numPr>
        <w:numId w:val="3"/>
      </w:numPr>
    </w:pPr>
  </w:style>
  <w:style w:type="paragraph" w:styleId="ListContinue2">
    <w:name w:val="List Continue 2"/>
    <w:basedOn w:val="List2"/>
    <w:rsid w:val="00601CFB"/>
    <w:pPr>
      <w:ind w:firstLine="0"/>
    </w:pPr>
  </w:style>
  <w:style w:type="paragraph" w:styleId="ListContinue3">
    <w:name w:val="List Continue 3"/>
    <w:basedOn w:val="List3"/>
    <w:rsid w:val="00601CFB"/>
    <w:pPr>
      <w:ind w:left="1021" w:firstLine="0"/>
    </w:pPr>
  </w:style>
  <w:style w:type="paragraph" w:styleId="ListContinue4">
    <w:name w:val="List Continue 4"/>
    <w:basedOn w:val="List4"/>
    <w:rsid w:val="00601CFB"/>
    <w:pPr>
      <w:ind w:firstLine="0"/>
    </w:pPr>
  </w:style>
  <w:style w:type="paragraph" w:styleId="ListContinue5">
    <w:name w:val="List Continue 5"/>
    <w:basedOn w:val="List5"/>
    <w:rsid w:val="00601CFB"/>
    <w:pPr>
      <w:ind w:firstLine="0"/>
    </w:pPr>
  </w:style>
  <w:style w:type="paragraph" w:styleId="ListNumber3">
    <w:name w:val="List Number 3"/>
    <w:basedOn w:val="List3"/>
    <w:rsid w:val="00601CFB"/>
    <w:pPr>
      <w:numPr>
        <w:numId w:val="4"/>
      </w:numPr>
    </w:pPr>
  </w:style>
  <w:style w:type="paragraph" w:styleId="ListNumber4">
    <w:name w:val="List Number 4"/>
    <w:basedOn w:val="List4"/>
    <w:rsid w:val="00601CFB"/>
    <w:pPr>
      <w:numPr>
        <w:numId w:val="5"/>
      </w:numPr>
    </w:pPr>
  </w:style>
  <w:style w:type="paragraph" w:styleId="ListNumber5">
    <w:name w:val="List Number 5"/>
    <w:basedOn w:val="List5"/>
    <w:rsid w:val="00601CFB"/>
    <w:pPr>
      <w:numPr>
        <w:numId w:val="6"/>
      </w:numPr>
    </w:pPr>
  </w:style>
  <w:style w:type="paragraph" w:styleId="BlockText">
    <w:name w:val="Block Text"/>
    <w:basedOn w:val="Normal"/>
    <w:rsid w:val="00601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CFB"/>
    <w:rPr>
      <w:sz w:val="16"/>
      <w:vertAlign w:val="superscript"/>
    </w:rPr>
  </w:style>
  <w:style w:type="character" w:customStyle="1" w:styleId="Symbols">
    <w:name w:val="Symbols"/>
    <w:basedOn w:val="DefaultParagraphFont"/>
    <w:rsid w:val="00601CFB"/>
    <w:rPr>
      <w:rFonts w:ascii="Symbol" w:hAnsi="Symbol"/>
    </w:rPr>
  </w:style>
  <w:style w:type="character" w:customStyle="1" w:styleId="MenuOptions">
    <w:name w:val="Menu Options"/>
    <w:basedOn w:val="DefaultParagraphFont"/>
    <w:rsid w:val="00601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CFB"/>
    <w:rPr>
      <w:b/>
    </w:rPr>
  </w:style>
  <w:style w:type="character" w:customStyle="1" w:styleId="Underlined">
    <w:name w:val="Underlined"/>
    <w:basedOn w:val="DefaultParagraphFont"/>
    <w:rsid w:val="00601CFB"/>
    <w:rPr>
      <w:u w:val="single"/>
    </w:rPr>
  </w:style>
  <w:style w:type="paragraph" w:customStyle="1" w:styleId="TableBodyTextRight">
    <w:name w:val="Table Body Text Right"/>
    <w:basedOn w:val="TableBodyText"/>
    <w:rsid w:val="00601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CFB"/>
    <w:rPr>
      <w:sz w:val="18"/>
    </w:rPr>
  </w:style>
  <w:style w:type="paragraph" w:customStyle="1" w:styleId="BodySmallRight">
    <w:name w:val="Body Small Right"/>
    <w:basedOn w:val="BodyTextRight"/>
    <w:rsid w:val="00601CFB"/>
    <w:rPr>
      <w:sz w:val="18"/>
      <w:szCs w:val="18"/>
    </w:rPr>
  </w:style>
  <w:style w:type="paragraph" w:customStyle="1" w:styleId="MarginEdition">
    <w:name w:val="Margin Edition"/>
    <w:basedOn w:val="MarginNote"/>
    <w:rsid w:val="00601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CFB"/>
    <w:rPr>
      <w:sz w:val="2"/>
      <w:szCs w:val="2"/>
    </w:rPr>
  </w:style>
  <w:style w:type="character" w:customStyle="1" w:styleId="Small">
    <w:name w:val="Small"/>
    <w:basedOn w:val="DefaultParagraphFont"/>
    <w:rsid w:val="00601CFB"/>
    <w:rPr>
      <w:sz w:val="16"/>
    </w:rPr>
  </w:style>
  <w:style w:type="paragraph" w:customStyle="1" w:styleId="WideTable">
    <w:name w:val="Wide Table"/>
    <w:basedOn w:val="Normal"/>
    <w:rsid w:val="00601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CFB"/>
  </w:style>
  <w:style w:type="paragraph" w:styleId="Quote">
    <w:name w:val="Quote"/>
    <w:basedOn w:val="Heading1"/>
    <w:link w:val="QuoteChar"/>
    <w:qFormat/>
    <w:rsid w:val="00601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CFB"/>
    <w:pPr>
      <w:pageBreakBefore/>
    </w:pPr>
  </w:style>
  <w:style w:type="paragraph" w:customStyle="1" w:styleId="Border">
    <w:name w:val="Border"/>
    <w:basedOn w:val="Normal"/>
    <w:qFormat/>
    <w:rsid w:val="00601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CFB"/>
    <w:rPr>
      <w:u w:val="single"/>
    </w:rPr>
  </w:style>
  <w:style w:type="character" w:customStyle="1" w:styleId="BoldandItalics">
    <w:name w:val="Bold and Italics"/>
    <w:qFormat/>
    <w:rsid w:val="00601CFB"/>
    <w:rPr>
      <w:b/>
      <w:i/>
      <w:u w:val="none"/>
    </w:rPr>
  </w:style>
  <w:style w:type="paragraph" w:styleId="BalloonText">
    <w:name w:val="Balloon Text"/>
    <w:basedOn w:val="Normal"/>
    <w:link w:val="BalloonTextChar"/>
    <w:rsid w:val="00601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C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C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4180</Characters>
  <Application>Microsoft Office Word</Application>
  <DocSecurity>0</DocSecurity>
  <Lines>177</Lines>
  <Paragraphs>91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PMC562081 Deliver customer service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2016-06-22T08:47:00Z</dcterms:created>
  <dcterms:modified xsi:type="dcterms:W3CDTF">2016-06-22T08:47:00Z</dcterms:modified>
</cp:coreProperties>
</file>