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589" w:rsidP="002B3589">
      <w:pPr>
        <w:pStyle w:val="Title"/>
      </w:pPr>
      <w:r>
        <w:fldChar w:fldCharType="begin"/>
      </w:r>
      <w:r>
        <w:instrText xml:space="preserve"> TITLE   \* MERGEFORMAT </w:instrText>
      </w:r>
      <w:r>
        <w:fldChar w:fldCharType="separate"/>
      </w:r>
      <w:r>
        <w:t>PMC557098 Specify refractory installation systems</w:t>
      </w:r>
      <w:r>
        <w:fldChar w:fldCharType="end"/>
      </w:r>
    </w:p>
    <w:p w:rsidR="002B3589" w:rsidP="002B3589">
      <w:pPr>
        <w:pStyle w:val="Version"/>
        <w:sectPr w:rsidSect="00154F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F7E" w:rsidP="00154F7E">
      <w:pPr>
        <w:pStyle w:val="SuperHeading"/>
      </w:pPr>
      <w:r w:rsidRPr="00154F7E">
        <w:t>PMC557098 Specify refractory installation systems</w:t>
      </w:r>
    </w:p>
    <w:p w:rsidR="00000000" w:rsidRPr="00154F7E" w:rsidP="00154F7E">
      <w:pPr>
        <w:pStyle w:val="Heading1"/>
      </w:pPr>
      <w:bookmarkStart w:id="1" w:name="O_929516"/>
      <w:bookmarkEnd w:id="1"/>
      <w:r w:rsidRPr="00154F7E">
        <w:t>Modification History</w:t>
      </w:r>
    </w:p>
    <w:p w:rsidR="00000000" w:rsidRPr="00154F7E" w:rsidP="002B3589">
      <w:pPr>
        <w:pStyle w:val="BodyText"/>
      </w:pPr>
      <w:r w:rsidRPr="00154F7E">
        <w:t>Release 1. Supersedes and is equivalent to PMC557098A Specify refractory installation systems</w:t>
      </w:r>
    </w:p>
    <w:p w:rsidR="00000000" w:rsidRPr="00154F7E" w:rsidP="00154F7E">
      <w:pPr>
        <w:pStyle w:val="Heading1"/>
      </w:pPr>
      <w:bookmarkStart w:id="2" w:name="O_929524"/>
      <w:bookmarkEnd w:id="2"/>
      <w:r w:rsidRPr="00154F7E">
        <w:t>Application</w:t>
      </w:r>
    </w:p>
    <w:p w:rsidR="00000000" w:rsidRPr="00154F7E" w:rsidP="002B3589">
      <w:pPr>
        <w:pStyle w:val="BodyText"/>
      </w:pPr>
      <w:r w:rsidRPr="00154F7E">
        <w:t>This unit of competency covers the skills and knowledge required to specify refractory installation syst</w:t>
      </w:r>
      <w:r w:rsidRPr="00154F7E">
        <w:t>ems. It applies to both monolithic and block refractory installations and repairs.</w:t>
      </w:r>
    </w:p>
    <w:p w:rsidR="00000000" w:rsidRPr="00154F7E" w:rsidP="002B3589">
      <w:pPr>
        <w:pStyle w:val="BodyText"/>
      </w:pPr>
      <w:r w:rsidRPr="00154F7E">
        <w:t>This unit of competency applies to operators who are required to analyse the repair specifications; determine the scaffolding, lifting/support, access, restrictions and oth</w:t>
      </w:r>
      <w:r w:rsidRPr="00154F7E">
        <w:t xml:space="preserve">er systems needed to implement the installation to meet specifications. </w:t>
      </w:r>
    </w:p>
    <w:p w:rsidR="00000000" w:rsidRPr="00154F7E" w:rsidP="002B3589">
      <w:pPr>
        <w:pStyle w:val="BodyText"/>
      </w:pPr>
      <w:r w:rsidRPr="00154F7E">
        <w:t>This unit of competency applies to senior technicians or those in similar roles who are required to analyse and synthesise advanced theoretical and technical knowledge and apply inde</w:t>
      </w:r>
      <w:r w:rsidRPr="00154F7E">
        <w:t>pendent judgement to high-level technical issues and complex problems. The individual may work in liaison with other refractory specialists or they may be the sole refractory specialist for this job or in their organisation.</w:t>
      </w:r>
    </w:p>
    <w:p w:rsidR="00000000" w:rsidRPr="00154F7E" w:rsidP="002B3589">
      <w:pPr>
        <w:pStyle w:val="BodyText"/>
      </w:pPr>
      <w:r w:rsidRPr="00154F7E">
        <w:t>No licensing, legislative or c</w:t>
      </w:r>
      <w:r w:rsidRPr="00154F7E">
        <w:t>ertification requirements apply to this unit at the time of publication.</w:t>
      </w:r>
    </w:p>
    <w:p w:rsidR="00000000" w:rsidRPr="00154F7E" w:rsidP="00154F7E">
      <w:pPr>
        <w:pStyle w:val="Heading1"/>
      </w:pPr>
      <w:bookmarkStart w:id="3" w:name="O_929523"/>
      <w:bookmarkEnd w:id="3"/>
      <w:r w:rsidRPr="00154F7E">
        <w:t>Pre-requisite Unit</w:t>
      </w:r>
    </w:p>
    <w:p w:rsidR="00000000" w:rsidRPr="00154F7E" w:rsidP="002B3589">
      <w:pPr>
        <w:pStyle w:val="BodyText"/>
      </w:pPr>
      <w:r w:rsidRPr="00154F7E">
        <w:t>Nil</w:t>
      </w:r>
    </w:p>
    <w:p w:rsidR="00000000" w:rsidRPr="00154F7E" w:rsidP="00154F7E">
      <w:pPr>
        <w:pStyle w:val="Heading1"/>
      </w:pPr>
      <w:bookmarkStart w:id="4" w:name="O_929522"/>
      <w:bookmarkEnd w:id="4"/>
      <w:r w:rsidRPr="00154F7E">
        <w:t>Competency Field</w:t>
      </w:r>
    </w:p>
    <w:p w:rsidR="00000000" w:rsidRPr="00154F7E" w:rsidP="002B3589">
      <w:pPr>
        <w:pStyle w:val="BodyText"/>
      </w:pPr>
      <w:r w:rsidRPr="00154F7E">
        <w:t>Technical</w:t>
      </w:r>
    </w:p>
    <w:p w:rsidR="00000000" w:rsidRPr="00154F7E" w:rsidP="00154F7E">
      <w:pPr>
        <w:pStyle w:val="Heading1"/>
      </w:pPr>
      <w:bookmarkStart w:id="5" w:name="O_929521"/>
      <w:bookmarkEnd w:id="5"/>
      <w:r w:rsidRPr="00154F7E">
        <w:t>Unit Sector</w:t>
      </w:r>
    </w:p>
    <w:p w:rsidR="00000000" w:rsidRPr="00154F7E" w:rsidP="002B3589">
      <w:pPr>
        <w:pStyle w:val="BodyText"/>
      </w:pPr>
      <w:r w:rsidRPr="00154F7E">
        <w:t>Not applicable</w:t>
      </w:r>
    </w:p>
    <w:p w:rsidR="00000000" w:rsidRPr="00154F7E" w:rsidP="00154F7E">
      <w:pPr>
        <w:pStyle w:val="Heading1"/>
      </w:pPr>
      <w:bookmarkStart w:id="6" w:name="O_929520"/>
      <w:bookmarkEnd w:id="6"/>
      <w:r w:rsidRPr="00154F7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54F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Elem</w:t>
            </w:r>
            <w:r w:rsidRPr="00154F7E">
              <w:t xml:space="preserve">ents describe the </w:t>
            </w:r>
            <w:r w:rsidRPr="00154F7E">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 xml:space="preserve">Performance criteria describe the performance needed to </w:t>
            </w:r>
            <w:r w:rsidRPr="00154F7E">
              <w:t>demonstrate achievement of the element.</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4F7E" w:rsidP="00154F7E">
            <w:pPr>
              <w:pStyle w:val="BodyText"/>
            </w:pPr>
            <w:r w:rsidRPr="00154F7E">
              <w:t>1</w:t>
            </w:r>
          </w:p>
        </w:tc>
        <w:tc>
          <w:tcPr>
            <w:tcW w:w="1962" w:type="dxa"/>
            <w:vMerge w:val="restart"/>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rPr>
                <w:rStyle w:val="SpecialBold"/>
              </w:rPr>
              <w:t>Analyse installation/repair specification</w:t>
            </w: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1.1</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Determine personnel access requirements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1.2</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Determine equipment and material access requirements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1.3</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Determine lifting and positioning requirements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1.4</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Determine site restrictions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1.5</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Determine restrictions caused by the refractory and/or job</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1.6</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Compile installation system requirements</w:t>
            </w:r>
          </w:p>
        </w:tc>
      </w:tr>
      <w:tr w:rsidTr="00154F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4F7E">
            <w:pPr>
              <w:pStyle w:val="BodyText"/>
              <w:rPr>
                <w:lang w:val="en-NZ"/>
              </w:rPr>
            </w:pP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4F7E" w:rsidP="00154F7E">
            <w:pPr>
              <w:pStyle w:val="BodyText"/>
            </w:pPr>
            <w:r w:rsidRPr="00154F7E">
              <w:t>2</w:t>
            </w:r>
          </w:p>
        </w:tc>
        <w:tc>
          <w:tcPr>
            <w:tcW w:w="1962" w:type="dxa"/>
            <w:vMerge w:val="restart"/>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rPr>
                <w:rStyle w:val="SpecialBold"/>
              </w:rPr>
              <w:t>Develop scaffolding requirements</w:t>
            </w: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2.1</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Calculate required size of work platforms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2.2</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Calculate load and load distribution on scaffold</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2.3</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Identify appropriate load bearing surfaces for scaffold base</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2.4</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Identify tie points for scaffold, if any</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2.5</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Select appropriate scaffold type for application</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2.6</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Develop draft scaffold specification</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2.7</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Check compliance of draft specification with regulations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2.8</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Develop scaffolding requirements in liaison with a licensed scaffolder or scaffold supplier</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2.9</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Identify scaffold related health, safety and environmental (HSE) hazards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2.10</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Determine appropriate hazard controls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2.11</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Check for discrepancies or con</w:t>
            </w:r>
            <w:r w:rsidRPr="00154F7E">
              <w:t>flicts and take appropriate action</w:t>
            </w:r>
          </w:p>
        </w:tc>
      </w:tr>
      <w:tr w:rsidTr="00154F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4F7E">
            <w:pPr>
              <w:pStyle w:val="BodyText"/>
              <w:rPr>
                <w:lang w:val="en-NZ"/>
              </w:rPr>
            </w:pP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4F7E" w:rsidP="00154F7E">
            <w:pPr>
              <w:pStyle w:val="BodyText"/>
            </w:pPr>
            <w:r w:rsidRPr="00154F7E">
              <w:t>3</w:t>
            </w:r>
          </w:p>
        </w:tc>
        <w:tc>
          <w:tcPr>
            <w:tcW w:w="1962" w:type="dxa"/>
            <w:vMerge w:val="restart"/>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rPr>
                <w:rStyle w:val="SpecialBold"/>
              </w:rPr>
              <w:t>Develop lifting and/or supporting requirements</w:t>
            </w: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3.1</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Calculate loads to be lifted/supported</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3.2</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Calculate loads on supports and running gear</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3.3</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Determine support needs during placement of refractory or equipment</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3.4</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Calculate impact on loads of placement needs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3.5</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Determine design loads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3.6</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Select appropriate lifting/supporting means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3.7</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Check compliance with any relevant regulation</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3.8</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Modify scaffold specification if required</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3.9</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Identify lifting/supporting related HSE hazards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3.10</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Determine appropriate hazard controls</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3.11</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 xml:space="preserve">Check for discrepancies or conflicts and take appropriate action </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3.12</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Prepare lifting/supporting specification</w:t>
            </w:r>
          </w:p>
        </w:tc>
      </w:tr>
      <w:tr w:rsidTr="00154F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54F7E">
            <w:pPr>
              <w:pStyle w:val="BodyText"/>
              <w:rPr>
                <w:lang w:val="en-NZ"/>
              </w:rPr>
            </w:pP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54F7E" w:rsidP="00154F7E">
            <w:pPr>
              <w:pStyle w:val="BodyText"/>
            </w:pPr>
            <w:r w:rsidRPr="00154F7E">
              <w:t>4</w:t>
            </w:r>
          </w:p>
        </w:tc>
        <w:tc>
          <w:tcPr>
            <w:tcW w:w="1962" w:type="dxa"/>
            <w:vMerge w:val="restart"/>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rPr>
                <w:rStyle w:val="SpecialBold"/>
              </w:rPr>
              <w:t>Ensure installation system complies with specification</w:t>
            </w: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4.1</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Liaise with contractors and others to ensure specifications are understood</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4.2</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Implement checking mechanisms to ensure syste</w:t>
            </w:r>
            <w:r w:rsidRPr="00154F7E">
              <w:t>m complies with specification</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4.3</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Take appropriate action on non-conformances as required</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4.4</w:t>
            </w:r>
          </w:p>
        </w:tc>
        <w:tc>
          <w:tcPr>
            <w:tcW w:w="561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Report during project as required</w:t>
            </w:r>
          </w:p>
        </w:tc>
      </w:tr>
      <w:tr w:rsidTr="0015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4.5</w:t>
            </w:r>
          </w:p>
        </w:tc>
        <w:tc>
          <w:tcPr>
            <w:tcW w:w="5610" w:type="dxa"/>
            <w:tcBorders>
              <w:top w:val="nil"/>
              <w:left w:val="nil"/>
              <w:bottom w:val="nil"/>
              <w:right w:val="nil"/>
            </w:tcBorders>
            <w:tcMar>
              <w:top w:w="0" w:type="dxa"/>
              <w:left w:w="62" w:type="dxa"/>
              <w:bottom w:w="0" w:type="dxa"/>
              <w:right w:w="62" w:type="dxa"/>
            </w:tcMar>
          </w:tcPr>
          <w:p w:rsidR="00000000" w:rsidRPr="00154F7E" w:rsidP="00154F7E">
            <w:pPr>
              <w:pStyle w:val="BodyText"/>
            </w:pPr>
            <w:r w:rsidRPr="00154F7E">
              <w:t>Complete end of project documentation on completion</w:t>
            </w:r>
          </w:p>
        </w:tc>
      </w:tr>
    </w:tbl>
    <w:p w:rsidR="00000000" w:rsidRPr="00154F7E" w:rsidP="00154F7E">
      <w:pPr>
        <w:pStyle w:val="BodyText"/>
      </w:pPr>
    </w:p>
    <w:p w:rsidR="00000000" w:rsidRPr="00154F7E" w:rsidP="00154F7E">
      <w:pPr>
        <w:pStyle w:val="AllowPageBreak"/>
      </w:pPr>
    </w:p>
    <w:p w:rsidR="00000000" w:rsidRPr="00154F7E" w:rsidP="00154F7E">
      <w:pPr>
        <w:pStyle w:val="Heading1"/>
      </w:pPr>
      <w:bookmarkStart w:id="7" w:name="O_929519"/>
      <w:bookmarkEnd w:id="7"/>
      <w:r w:rsidRPr="00154F7E">
        <w:t>Foundation Skills</w:t>
      </w:r>
    </w:p>
    <w:p w:rsidR="00000000" w:rsidRPr="00154F7E" w:rsidP="002B3589">
      <w:pPr>
        <w:pStyle w:val="BodyText"/>
      </w:pPr>
      <w:r w:rsidRPr="00154F7E">
        <w:t>This section describes those required skills (language, literacy and numeracy) that are essential to performance.</w:t>
      </w:r>
    </w:p>
    <w:p w:rsidR="00000000" w:rsidRPr="00154F7E" w:rsidP="002B3589">
      <w:pPr>
        <w:pStyle w:val="BodyText"/>
      </w:pPr>
      <w:r w:rsidRPr="00154F7E">
        <w:t>Foundation skills essential to performance are explicit in the performance criteria of this unit of competency.</w:t>
      </w:r>
    </w:p>
    <w:p w:rsidR="00000000" w:rsidRPr="00154F7E" w:rsidP="00154F7E">
      <w:pPr>
        <w:pStyle w:val="Heading1"/>
      </w:pPr>
      <w:bookmarkStart w:id="8" w:name="O_929518"/>
      <w:bookmarkEnd w:id="8"/>
      <w:r w:rsidRPr="00154F7E">
        <w:t>Range of Con</w:t>
      </w:r>
      <w:r w:rsidRPr="00154F7E">
        <w:t>ditions</w:t>
      </w:r>
    </w:p>
    <w:tbl>
      <w:tblPr>
        <w:tblW w:w="0" w:type="auto"/>
        <w:tblCellMar>
          <w:left w:w="62" w:type="dxa"/>
          <w:right w:w="62" w:type="dxa"/>
        </w:tblCellMar>
        <w:tblLook w:val="0000"/>
      </w:tblPr>
      <w:tblGrid>
        <w:gridCol w:w="2267"/>
        <w:gridCol w:w="6929"/>
      </w:tblGrid>
      <w:tr w:rsidTr="002B35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t>This field allows for different work environments and conditions that may affect performance. Essential operating conditions that may be present (depending on the work situation, needs of the candidate, accessibility of the item, and local industry</w:t>
            </w:r>
            <w:r w:rsidRPr="00154F7E">
              <w:t xml:space="preserve"> and regional contexts) are included.</w:t>
            </w:r>
          </w:p>
        </w:tc>
      </w:tr>
      <w:tr w:rsidTr="002B3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4F7E" w:rsidP="00154F7E">
            <w:pPr>
              <w:pStyle w:val="BodyText"/>
            </w:pPr>
            <w:r w:rsidRPr="00154F7E">
              <w:rPr>
                <w:rStyle w:val="SpecialBold"/>
              </w:rPr>
              <w:t>Regulatory framework</w:t>
            </w:r>
            <w:r w:rsidRPr="00154F7E">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54F7E" w:rsidP="00154F7E">
            <w:pPr>
              <w:pStyle w:val="BodyText"/>
            </w:pPr>
            <w:r w:rsidRPr="00154F7E">
              <w:t>The latest version of all legislation, regulations, industry codes of practice and Australian/international standards, or the version specified by the local regulatory authority, must be used.</w:t>
            </w:r>
          </w:p>
          <w:p w:rsidR="00000000" w:rsidRPr="00154F7E" w:rsidP="00154F7E">
            <w:pPr>
              <w:pStyle w:val="BodyText"/>
            </w:pPr>
          </w:p>
          <w:p w:rsidR="00000000" w:rsidRPr="00154F7E" w:rsidP="00154F7E">
            <w:pPr>
              <w:pStyle w:val="BodyText"/>
            </w:pPr>
            <w:r w:rsidRPr="00154F7E">
              <w:t>Applicable legislation, regulations, standards and codes of practice include:</w:t>
            </w:r>
          </w:p>
          <w:p w:rsidR="00000000" w:rsidRPr="00154F7E" w:rsidP="00154F7E">
            <w:pPr>
              <w:pStyle w:val="ListBullet"/>
            </w:pPr>
            <w:r w:rsidRPr="00154F7E">
              <w:t>HSE legislation, regulations and codes of practice relevant to the workplace, equipment and production processes and hazardous materials</w:t>
            </w:r>
          </w:p>
          <w:p w:rsidR="00000000" w:rsidRPr="00154F7E" w:rsidP="00154F7E">
            <w:pPr>
              <w:pStyle w:val="ListBullet"/>
            </w:pPr>
            <w:r w:rsidRPr="00154F7E">
              <w:t>Australian/international standards rele</w:t>
            </w:r>
            <w:r w:rsidRPr="00154F7E">
              <w:t xml:space="preserve">vant to the materials being used and products being made </w:t>
            </w:r>
          </w:p>
          <w:p w:rsidR="00000000" w:rsidRPr="00154F7E" w:rsidP="00154F7E">
            <w:pPr>
              <w:pStyle w:val="ListBullet"/>
            </w:pPr>
            <w:r w:rsidRPr="00154F7E">
              <w:t>any relevant licence and certification requirements.</w:t>
            </w:r>
          </w:p>
          <w:p w:rsidR="00000000" w:rsidRPr="00154F7E" w:rsidP="00154F7E">
            <w:pPr>
              <w:pStyle w:val="BodyText"/>
            </w:pPr>
          </w:p>
          <w:p w:rsidR="00000000" w:rsidRPr="00154F7E" w:rsidP="00154F7E">
            <w:pPr>
              <w:pStyle w:val="BodyText"/>
            </w:pPr>
            <w:r w:rsidRPr="00154F7E">
              <w:t>All operations to which this unit applies are subject to stringent HSE requirements, which may be imposed through state/territory or federal leg</w:t>
            </w:r>
            <w:r w:rsidRPr="00154F7E">
              <w:t>islation, and these must not be compromised at any time. Where there is an apparent conflict between performance criteria and such requirements the legislative requirements take precedence.</w:t>
            </w:r>
          </w:p>
          <w:p w:rsidR="00000000" w:rsidP="00154F7E">
            <w:pPr>
              <w:pStyle w:val="BodyText"/>
              <w:rPr>
                <w:lang w:val="en-NZ"/>
              </w:rPr>
            </w:pPr>
          </w:p>
        </w:tc>
      </w:tr>
      <w:tr w:rsidTr="002B35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4F7E">
            <w:pPr>
              <w:pStyle w:val="BodyText"/>
              <w:rPr>
                <w:lang w:val="en-NZ"/>
              </w:rPr>
            </w:pPr>
            <w:r w:rsidRPr="00154F7E">
              <w:rPr>
                <w:rStyle w:val="SpecialBold"/>
              </w:rPr>
              <w:t>HSE hazards</w:t>
            </w:r>
          </w:p>
        </w:tc>
        <w:tc>
          <w:tcPr>
            <w:tcW w:w="0" w:type="auto"/>
            <w:tcBorders>
              <w:top w:val="nil"/>
              <w:left w:val="nil"/>
              <w:bottom w:val="nil"/>
              <w:right w:val="nil"/>
            </w:tcBorders>
            <w:tcMar>
              <w:top w:w="0" w:type="dxa"/>
              <w:left w:w="62" w:type="dxa"/>
              <w:bottom w:w="0" w:type="dxa"/>
              <w:right w:w="62" w:type="dxa"/>
            </w:tcMar>
          </w:tcPr>
          <w:p w:rsidR="00000000" w:rsidRPr="00154F7E" w:rsidP="00154F7E">
            <w:pPr>
              <w:pStyle w:val="BodyText"/>
            </w:pPr>
            <w:r w:rsidRPr="00154F7E">
              <w:t>Identification of HSE hazards requires consideration of:</w:t>
            </w:r>
          </w:p>
          <w:p w:rsidR="00000000" w:rsidRPr="00154F7E" w:rsidP="00154F7E">
            <w:pPr>
              <w:pStyle w:val="ListBullet"/>
            </w:pPr>
            <w:r w:rsidRPr="00154F7E">
              <w:t>access/egress restrictions</w:t>
            </w:r>
          </w:p>
          <w:p w:rsidR="00000000" w:rsidRPr="00154F7E" w:rsidP="00154F7E">
            <w:pPr>
              <w:pStyle w:val="ListBullet"/>
            </w:pPr>
            <w:r w:rsidRPr="00154F7E">
              <w:t>ventilation restrictions</w:t>
            </w:r>
          </w:p>
          <w:p w:rsidR="00000000" w:rsidRPr="00154F7E" w:rsidP="00154F7E">
            <w:pPr>
              <w:pStyle w:val="ListBullet"/>
            </w:pPr>
            <w:r w:rsidRPr="00154F7E">
              <w:t>moving objects/loads</w:t>
            </w:r>
          </w:p>
          <w:p w:rsidR="00000000" w:rsidRPr="00154F7E" w:rsidP="00154F7E">
            <w:pPr>
              <w:pStyle w:val="ListBullet"/>
            </w:pPr>
            <w:r w:rsidRPr="00154F7E">
              <w:t>cables under tension.</w:t>
            </w:r>
          </w:p>
        </w:tc>
      </w:tr>
    </w:tbl>
    <w:p w:rsidR="00000000" w:rsidRPr="00154F7E" w:rsidP="00154F7E">
      <w:pPr>
        <w:pStyle w:val="BodyText"/>
      </w:pPr>
    </w:p>
    <w:p w:rsidR="00000000" w:rsidRPr="00154F7E" w:rsidP="00154F7E">
      <w:pPr>
        <w:pStyle w:val="AllowPageBreak"/>
      </w:pPr>
    </w:p>
    <w:p w:rsidR="00000000" w:rsidRPr="00154F7E" w:rsidP="00154F7E">
      <w:pPr>
        <w:pStyle w:val="Heading1"/>
      </w:pPr>
      <w:bookmarkStart w:id="9" w:name="O_929517"/>
      <w:bookmarkEnd w:id="9"/>
      <w:r w:rsidRPr="00154F7E">
        <w:t>Unit Mapping Information</w:t>
      </w:r>
    </w:p>
    <w:p w:rsidR="00000000" w:rsidRPr="00154F7E" w:rsidP="002B3589">
      <w:pPr>
        <w:pStyle w:val="BodyText"/>
      </w:pPr>
      <w:r w:rsidRPr="00154F7E">
        <w:t>Release 1. Supersedes and is equivalent to PMC557098A Speci</w:t>
      </w:r>
      <w:r w:rsidRPr="00154F7E">
        <w:t>fy refractory installation systems</w:t>
      </w:r>
    </w:p>
    <w:p w:rsidR="00000000" w:rsidRPr="00154F7E" w:rsidP="00154F7E">
      <w:pPr>
        <w:pStyle w:val="Heading1"/>
      </w:pPr>
      <w:bookmarkStart w:id="10" w:name="O_929510"/>
      <w:bookmarkEnd w:id="10"/>
      <w:r w:rsidRPr="00154F7E">
        <w:t>Links</w:t>
      </w:r>
    </w:p>
    <w:p w:rsidR="00000000" w:rsidRPr="00154F7E" w:rsidP="002B3589">
      <w:pPr>
        <w:pStyle w:val="BodyText"/>
      </w:pPr>
      <w:r w:rsidRPr="00154F7E">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B43C2">
        <w:rPr>
          <w:rStyle w:val="Hyperlink"/>
        </w:rPr>
        <w:t>https://vetnet.gov.au/Pages/TrainingDocs.aspx?q=45a7f1d5-61a5-447a-9688-7abbd7e1a5c7</w:t>
      </w:r>
      <w:r>
        <w:fldChar w:fldCharType="end"/>
      </w:r>
    </w:p>
    <w:p w:rsidR="00000000" w:rsidRPr="00154F7E" w:rsidP="002B3589">
      <w:pPr>
        <w:pStyle w:val="BodyText"/>
        <w:sectPr w:rsidSect="00154F7E">
          <w:headerReference w:type="default" r:id="rId10"/>
          <w:footerReference w:type="default" r:id="rId11"/>
          <w:pgSz w:w="11908" w:h="16833"/>
          <w:pgMar w:top="1702" w:right="1418" w:bottom="1702" w:left="1418" w:header="992" w:footer="992" w:gutter="0"/>
          <w:cols w:space="720"/>
          <w:noEndnote/>
          <w:docGrid w:linePitch="299"/>
        </w:sectPr>
      </w:pPr>
    </w:p>
    <w:p w:rsidR="00000000" w:rsidRPr="00154F7E" w:rsidP="00154F7E">
      <w:pPr>
        <w:pStyle w:val="SuperHeading"/>
      </w:pPr>
      <w:r w:rsidRPr="00154F7E">
        <w:t>Assessment Requirements for PMC557098 Specify refractory installation systems</w:t>
      </w:r>
    </w:p>
    <w:p w:rsidR="00000000" w:rsidRPr="00154F7E" w:rsidP="00154F7E">
      <w:pPr>
        <w:pStyle w:val="Heading1"/>
      </w:pPr>
      <w:bookmarkStart w:id="11" w:name="O_929512"/>
      <w:bookmarkEnd w:id="11"/>
      <w:r w:rsidRPr="00154F7E">
        <w:t>Modification History</w:t>
      </w:r>
    </w:p>
    <w:p w:rsidR="00000000" w:rsidRPr="00154F7E" w:rsidP="002B3589">
      <w:pPr>
        <w:pStyle w:val="BodyText"/>
      </w:pPr>
      <w:r w:rsidRPr="00154F7E">
        <w:t>Release 1. Supersedes and is equivalent to PMC557098A Specify refractory installation systems</w:t>
      </w:r>
    </w:p>
    <w:p w:rsidR="00000000" w:rsidRPr="00154F7E" w:rsidP="00154F7E">
      <w:pPr>
        <w:pStyle w:val="Heading1"/>
      </w:pPr>
      <w:bookmarkStart w:id="12" w:name="O_929515"/>
      <w:bookmarkEnd w:id="12"/>
      <w:r w:rsidRPr="00154F7E">
        <w:t>Performance Evidence</w:t>
      </w:r>
    </w:p>
    <w:p w:rsidR="00000000" w:rsidRPr="00154F7E" w:rsidP="002B3589">
      <w:pPr>
        <w:pStyle w:val="BodyText"/>
      </w:pPr>
      <w:r w:rsidRPr="00154F7E">
        <w:t>Evidence required to demonstrate competence in this unit must be relevant to and satisfy the requirements of the elements and performance criteria and demonstrate the ability to:</w:t>
      </w:r>
    </w:p>
    <w:p w:rsidR="00000000" w:rsidRPr="00154F7E" w:rsidP="00154F7E">
      <w:pPr>
        <w:pStyle w:val="ListBullet"/>
      </w:pPr>
      <w:r w:rsidRPr="00154F7E">
        <w:t xml:space="preserve">analyse and interpret technical reports, technical specifications, data and </w:t>
      </w:r>
      <w:r w:rsidRPr="00154F7E">
        <w:t>repair specifications</w:t>
      </w:r>
    </w:p>
    <w:p w:rsidR="00000000" w:rsidRPr="00154F7E" w:rsidP="00154F7E">
      <w:pPr>
        <w:pStyle w:val="ListBullet"/>
      </w:pPr>
      <w:r w:rsidRPr="00154F7E">
        <w:t>determine detailed specifications covering all systems needed to implement the installation to meet specifications</w:t>
      </w:r>
    </w:p>
    <w:p w:rsidR="00000000" w:rsidRPr="00154F7E" w:rsidP="00154F7E">
      <w:pPr>
        <w:pStyle w:val="ListBullet"/>
      </w:pPr>
      <w:r w:rsidRPr="00154F7E">
        <w:t>monitor conformance of the installation systems to specifications and take action on non-conformances</w:t>
      </w:r>
    </w:p>
    <w:p w:rsidR="00000000" w:rsidRPr="00154F7E" w:rsidP="00154F7E">
      <w:pPr>
        <w:pStyle w:val="ListBullet"/>
      </w:pPr>
      <w:r w:rsidRPr="00154F7E">
        <w:t xml:space="preserve">complete project </w:t>
      </w:r>
      <w:r w:rsidRPr="00154F7E">
        <w:t>documentation and reports</w:t>
      </w:r>
    </w:p>
    <w:p w:rsidR="00000000" w:rsidRPr="00154F7E" w:rsidP="00154F7E">
      <w:pPr>
        <w:pStyle w:val="ListBullet"/>
      </w:pPr>
      <w:r w:rsidRPr="00154F7E">
        <w:t xml:space="preserve">communicate technical information verbally and in writing/drawings </w:t>
      </w:r>
    </w:p>
    <w:p w:rsidR="00000000" w:rsidRPr="00154F7E" w:rsidP="00154F7E">
      <w:pPr>
        <w:pStyle w:val="ListBullet"/>
      </w:pPr>
      <w:r w:rsidRPr="00154F7E">
        <w:t>communicate with internal and external stakeholders, including one or more of:</w:t>
      </w:r>
    </w:p>
    <w:p w:rsidR="00000000" w:rsidRPr="00154F7E" w:rsidP="00154F7E">
      <w:pPr>
        <w:pStyle w:val="ListBullet2"/>
      </w:pPr>
      <w:r w:rsidRPr="00154F7E">
        <w:t>customer representatives</w:t>
      </w:r>
    </w:p>
    <w:p w:rsidR="00000000" w:rsidRPr="00154F7E" w:rsidP="00154F7E">
      <w:pPr>
        <w:pStyle w:val="ListBullet2"/>
      </w:pPr>
      <w:r w:rsidRPr="00154F7E">
        <w:t>technical experts</w:t>
      </w:r>
    </w:p>
    <w:p w:rsidR="00000000" w:rsidRPr="00154F7E" w:rsidP="00154F7E">
      <w:pPr>
        <w:pStyle w:val="ListBullet2"/>
      </w:pPr>
      <w:r w:rsidRPr="00154F7E">
        <w:t>regulators</w:t>
      </w:r>
    </w:p>
    <w:p w:rsidR="00000000" w:rsidRPr="00154F7E" w:rsidP="00154F7E">
      <w:pPr>
        <w:pStyle w:val="ListBullet2"/>
      </w:pPr>
      <w:r w:rsidRPr="00154F7E">
        <w:t>management</w:t>
      </w:r>
    </w:p>
    <w:p w:rsidR="00000000" w:rsidRPr="00154F7E" w:rsidP="00154F7E">
      <w:pPr>
        <w:pStyle w:val="ListBullet2"/>
      </w:pPr>
      <w:r w:rsidRPr="00154F7E">
        <w:t xml:space="preserve">refractory designer </w:t>
      </w:r>
    </w:p>
    <w:p w:rsidR="00000000" w:rsidRPr="00154F7E" w:rsidP="00154F7E">
      <w:pPr>
        <w:pStyle w:val="ListBullet2"/>
      </w:pPr>
      <w:r w:rsidRPr="00154F7E">
        <w:t>refractory installer</w:t>
      </w:r>
    </w:p>
    <w:p w:rsidR="00000000" w:rsidRPr="00154F7E" w:rsidP="00154F7E">
      <w:pPr>
        <w:pStyle w:val="ListBullet2"/>
      </w:pPr>
      <w:r w:rsidRPr="00154F7E">
        <w:t>materials and equipment suppliers</w:t>
      </w:r>
    </w:p>
    <w:p w:rsidR="00000000" w:rsidRPr="00154F7E" w:rsidP="00154F7E">
      <w:pPr>
        <w:pStyle w:val="ListBullet2"/>
      </w:pPr>
      <w:r w:rsidRPr="00154F7E">
        <w:t>contractors</w:t>
      </w:r>
    </w:p>
    <w:p w:rsidR="00000000" w:rsidRPr="00154F7E" w:rsidP="00154F7E">
      <w:pPr>
        <w:pStyle w:val="ListBullet"/>
      </w:pPr>
      <w:r w:rsidRPr="00154F7E">
        <w:t>apply complex and/or theoretical mathematical calculations, statistics</w:t>
      </w:r>
    </w:p>
    <w:p w:rsidR="00000000" w:rsidRPr="00154F7E" w:rsidP="00154F7E">
      <w:pPr>
        <w:pStyle w:val="ListBullet"/>
      </w:pPr>
      <w:r w:rsidRPr="00154F7E">
        <w:t xml:space="preserve">solve complex problems within or arising from the repair design and/or installation.  </w:t>
      </w:r>
    </w:p>
    <w:p w:rsidR="00000000" w:rsidRPr="00154F7E" w:rsidP="00154F7E">
      <w:pPr>
        <w:pStyle w:val="AllowPageBreak"/>
      </w:pPr>
    </w:p>
    <w:p w:rsidR="00000000" w:rsidRPr="00154F7E" w:rsidP="00154F7E">
      <w:pPr>
        <w:pStyle w:val="Heading1"/>
      </w:pPr>
      <w:bookmarkStart w:id="13" w:name="O_929514"/>
      <w:bookmarkEnd w:id="13"/>
      <w:r w:rsidRPr="00154F7E">
        <w:t>Knowledge Evidence</w:t>
      </w:r>
    </w:p>
    <w:p w:rsidR="00000000" w:rsidRPr="00154F7E" w:rsidP="002B3589">
      <w:pPr>
        <w:pStyle w:val="BodyText"/>
      </w:pPr>
      <w:r w:rsidRPr="00154F7E">
        <w:t>Must provide evidence that demonstrates knowledge relevant to their job sufficient to fulfil their job role, including knowledge of:</w:t>
      </w:r>
    </w:p>
    <w:p w:rsidR="00000000" w:rsidRPr="00154F7E" w:rsidP="00154F7E">
      <w:pPr>
        <w:pStyle w:val="ListBullet"/>
      </w:pPr>
      <w:r w:rsidRPr="00154F7E">
        <w:t>properties of all common refractory materials</w:t>
      </w:r>
    </w:p>
    <w:p w:rsidR="00000000" w:rsidRPr="00154F7E" w:rsidP="00154F7E">
      <w:pPr>
        <w:pStyle w:val="ListBullet"/>
      </w:pPr>
      <w:r w:rsidRPr="00154F7E">
        <w:t xml:space="preserve">common installation methods </w:t>
      </w:r>
    </w:p>
    <w:p w:rsidR="00000000" w:rsidRPr="00154F7E" w:rsidP="00154F7E">
      <w:pPr>
        <w:pStyle w:val="ListBullet"/>
      </w:pPr>
      <w:r w:rsidRPr="00154F7E">
        <w:t>point vs. distributed loads</w:t>
      </w:r>
    </w:p>
    <w:p w:rsidR="00000000" w:rsidRPr="00154F7E" w:rsidP="00154F7E">
      <w:pPr>
        <w:pStyle w:val="ListBullet"/>
      </w:pPr>
      <w:r w:rsidRPr="00154F7E">
        <w:t>mechanics of levers, pulleys and jacks</w:t>
      </w:r>
    </w:p>
    <w:p w:rsidR="00000000" w:rsidRPr="00154F7E" w:rsidP="00154F7E">
      <w:pPr>
        <w:pStyle w:val="ListBullet"/>
      </w:pPr>
      <w:r w:rsidRPr="00154F7E">
        <w:t xml:space="preserve">structures, moments and beam reactions </w:t>
      </w:r>
    </w:p>
    <w:p w:rsidR="00000000" w:rsidRPr="00154F7E" w:rsidP="00154F7E">
      <w:pPr>
        <w:pStyle w:val="ListBullet"/>
      </w:pPr>
      <w:r w:rsidRPr="00154F7E">
        <w:t>tension, compression, shear and torsion</w:t>
      </w:r>
    </w:p>
    <w:p w:rsidR="00000000" w:rsidRPr="00154F7E" w:rsidP="00154F7E">
      <w:pPr>
        <w:pStyle w:val="ListBullet"/>
      </w:pPr>
      <w:r w:rsidRPr="00154F7E">
        <w:t>application and limitations of lifting/hoisting/supporting systems, including:</w:t>
      </w:r>
    </w:p>
    <w:p w:rsidR="00000000" w:rsidRPr="00154F7E" w:rsidP="00154F7E">
      <w:pPr>
        <w:pStyle w:val="ListBullet2"/>
      </w:pPr>
      <w:r w:rsidRPr="00154F7E">
        <w:t>gin wheel</w:t>
      </w:r>
    </w:p>
    <w:p w:rsidR="00000000" w:rsidRPr="00154F7E" w:rsidP="00154F7E">
      <w:pPr>
        <w:pStyle w:val="ListBullet2"/>
      </w:pPr>
      <w:r w:rsidRPr="00154F7E">
        <w:t>scaffold crane</w:t>
      </w:r>
    </w:p>
    <w:p w:rsidR="00000000" w:rsidRPr="00154F7E" w:rsidP="00154F7E">
      <w:pPr>
        <w:pStyle w:val="ListBullet2"/>
      </w:pPr>
      <w:r w:rsidRPr="00154F7E">
        <w:t>elev</w:t>
      </w:r>
      <w:r w:rsidRPr="00154F7E">
        <w:t>ator</w:t>
      </w:r>
    </w:p>
    <w:p w:rsidR="00000000" w:rsidRPr="00154F7E" w:rsidP="00154F7E">
      <w:pPr>
        <w:pStyle w:val="ListBullet2"/>
      </w:pPr>
      <w:r w:rsidRPr="00154F7E">
        <w:t>scissor lift</w:t>
      </w:r>
    </w:p>
    <w:p w:rsidR="00000000" w:rsidRPr="00154F7E" w:rsidP="00154F7E">
      <w:pPr>
        <w:pStyle w:val="ListBullet2"/>
      </w:pPr>
      <w:r w:rsidRPr="00154F7E">
        <w:t xml:space="preserve">fixed hoist </w:t>
      </w:r>
    </w:p>
    <w:p w:rsidR="00000000" w:rsidRPr="00154F7E" w:rsidP="00154F7E">
      <w:pPr>
        <w:pStyle w:val="ListBullet"/>
      </w:pPr>
      <w:r w:rsidRPr="00154F7E">
        <w:t>scaffolding design and construction</w:t>
      </w:r>
    </w:p>
    <w:p w:rsidR="00000000" w:rsidRPr="00154F7E" w:rsidP="00154F7E">
      <w:pPr>
        <w:pStyle w:val="ListBullet"/>
      </w:pPr>
      <w:r w:rsidRPr="00154F7E">
        <w:t>application and limitations of types of scaffolding, including:</w:t>
      </w:r>
    </w:p>
    <w:p w:rsidR="00000000" w:rsidRPr="00154F7E" w:rsidP="00154F7E">
      <w:pPr>
        <w:pStyle w:val="ListBullet2"/>
      </w:pPr>
      <w:r w:rsidRPr="00154F7E">
        <w:t>trestle scaffold</w:t>
      </w:r>
    </w:p>
    <w:p w:rsidR="00000000" w:rsidRPr="00154F7E" w:rsidP="00154F7E">
      <w:pPr>
        <w:pStyle w:val="ListBullet2"/>
      </w:pPr>
      <w:r w:rsidRPr="00154F7E">
        <w:t>tower scaffold</w:t>
      </w:r>
    </w:p>
    <w:p w:rsidR="00000000" w:rsidRPr="00154F7E" w:rsidP="00154F7E">
      <w:pPr>
        <w:pStyle w:val="ListBullet2"/>
      </w:pPr>
      <w:r w:rsidRPr="00154F7E">
        <w:t>putlog scaffold</w:t>
      </w:r>
    </w:p>
    <w:p w:rsidR="00000000" w:rsidRPr="00154F7E" w:rsidP="00154F7E">
      <w:pPr>
        <w:pStyle w:val="ListBullet2"/>
      </w:pPr>
      <w:r w:rsidRPr="00154F7E">
        <w:t>independent scaffold</w:t>
      </w:r>
    </w:p>
    <w:p w:rsidR="00000000" w:rsidRPr="00154F7E" w:rsidP="00154F7E">
      <w:pPr>
        <w:pStyle w:val="ListBullet2"/>
      </w:pPr>
      <w:r w:rsidRPr="00154F7E">
        <w:t>working platforms</w:t>
      </w:r>
    </w:p>
    <w:p w:rsidR="00000000" w:rsidRPr="00154F7E" w:rsidP="00154F7E">
      <w:pPr>
        <w:pStyle w:val="ListBullet"/>
      </w:pPr>
      <w:r w:rsidRPr="00154F7E">
        <w:t>types of restrictions caused by refractory/job, including:</w:t>
      </w:r>
    </w:p>
    <w:p w:rsidR="00000000" w:rsidRPr="00154F7E" w:rsidP="00154F7E">
      <w:pPr>
        <w:pStyle w:val="ListBullet2"/>
      </w:pPr>
      <w:r w:rsidRPr="00154F7E">
        <w:t>fragility preventing use as a footing</w:t>
      </w:r>
    </w:p>
    <w:p w:rsidR="00000000" w:rsidRPr="00154F7E" w:rsidP="00154F7E">
      <w:pPr>
        <w:pStyle w:val="ListBullet2"/>
      </w:pPr>
      <w:r w:rsidRPr="00154F7E">
        <w:t>need to refractory clad area being used for support</w:t>
      </w:r>
    </w:p>
    <w:p w:rsidR="00000000" w:rsidRPr="00154F7E" w:rsidP="00154F7E">
      <w:pPr>
        <w:pStyle w:val="ListBullet2"/>
      </w:pPr>
      <w:r w:rsidRPr="00154F7E">
        <w:t>lack of tie points</w:t>
      </w:r>
    </w:p>
    <w:p w:rsidR="00000000" w:rsidRPr="00154F7E" w:rsidP="00154F7E">
      <w:pPr>
        <w:pStyle w:val="ListBullet2"/>
      </w:pPr>
      <w:r w:rsidRPr="00154F7E">
        <w:t xml:space="preserve">low coefficient of friction making it unsuitable for support </w:t>
      </w:r>
    </w:p>
    <w:p w:rsidR="00000000" w:rsidRPr="00154F7E" w:rsidP="00154F7E">
      <w:pPr>
        <w:pStyle w:val="ListBullet"/>
      </w:pPr>
      <w:r w:rsidRPr="00154F7E">
        <w:t>calculations relevant to</w:t>
      </w:r>
      <w:r w:rsidRPr="00154F7E">
        <w:t xml:space="preserve"> specifications </w:t>
      </w:r>
    </w:p>
    <w:p w:rsidR="00000000" w:rsidRPr="00154F7E" w:rsidP="00154F7E">
      <w:pPr>
        <w:pStyle w:val="ListBullet"/>
      </w:pPr>
      <w:r w:rsidRPr="00154F7E">
        <w:t xml:space="preserve">project planning and management </w:t>
      </w:r>
    </w:p>
    <w:p w:rsidR="00000000" w:rsidRPr="00154F7E" w:rsidP="00154F7E">
      <w:pPr>
        <w:pStyle w:val="ListBullet"/>
      </w:pPr>
      <w:r w:rsidRPr="00154F7E">
        <w:t>regulatory framework</w:t>
      </w:r>
    </w:p>
    <w:p w:rsidR="00000000" w:rsidRPr="00154F7E" w:rsidP="00154F7E">
      <w:pPr>
        <w:pStyle w:val="ListBullet"/>
      </w:pPr>
      <w:r w:rsidRPr="00154F7E">
        <w:t>hierarchy of control</w:t>
      </w:r>
    </w:p>
    <w:p w:rsidR="00000000" w:rsidRPr="00154F7E" w:rsidP="00154F7E">
      <w:pPr>
        <w:pStyle w:val="ListBullet"/>
      </w:pPr>
      <w:r w:rsidRPr="00154F7E">
        <w:t>hazards that may arise in the job/work environment and:</w:t>
      </w:r>
    </w:p>
    <w:p w:rsidR="00000000" w:rsidRPr="00154F7E" w:rsidP="00154F7E">
      <w:pPr>
        <w:pStyle w:val="ListBullet2"/>
      </w:pPr>
      <w:r w:rsidRPr="00154F7E">
        <w:t xml:space="preserve">their possible causes </w:t>
      </w:r>
    </w:p>
    <w:p w:rsidR="00000000" w:rsidRPr="00154F7E" w:rsidP="00154F7E">
      <w:pPr>
        <w:pStyle w:val="ListBullet2"/>
      </w:pPr>
      <w:r w:rsidRPr="00154F7E">
        <w:t>potential consequences</w:t>
      </w:r>
    </w:p>
    <w:p w:rsidR="00000000" w:rsidRPr="00154F7E" w:rsidP="00154F7E">
      <w:pPr>
        <w:pStyle w:val="ListBullet2"/>
      </w:pPr>
      <w:r w:rsidRPr="00154F7E">
        <w:t>appropriate risk controls.</w:t>
      </w:r>
    </w:p>
    <w:p w:rsidR="00000000" w:rsidRPr="00154F7E" w:rsidP="00154F7E">
      <w:pPr>
        <w:pStyle w:val="AllowPageBreak"/>
      </w:pPr>
    </w:p>
    <w:p w:rsidR="00000000" w:rsidRPr="00154F7E" w:rsidP="00154F7E">
      <w:pPr>
        <w:pStyle w:val="Heading1"/>
      </w:pPr>
      <w:bookmarkStart w:id="14" w:name="O_929513"/>
      <w:bookmarkEnd w:id="14"/>
      <w:r w:rsidRPr="00154F7E">
        <w:t>Assessment Conditions</w:t>
      </w:r>
    </w:p>
    <w:p w:rsidR="00000000" w:rsidRPr="00154F7E" w:rsidP="00154F7E">
      <w:pPr>
        <w:pStyle w:val="ListBullet"/>
      </w:pPr>
      <w:r w:rsidRPr="00154F7E">
        <w:t>The unit should be assessed holistically and the judgement of competence shall be based on a holistic assessment of the evidence.</w:t>
      </w:r>
    </w:p>
    <w:p w:rsidR="00000000" w:rsidRPr="00154F7E" w:rsidP="00154F7E">
      <w:pPr>
        <w:pStyle w:val="ListBullet"/>
      </w:pPr>
      <w:r w:rsidRPr="00154F7E">
        <w:t>The collection of performance evidence is best done from a report and/or folio of evidence drawn from:</w:t>
      </w:r>
    </w:p>
    <w:p w:rsidR="00000000" w:rsidRPr="00154F7E" w:rsidP="00154F7E">
      <w:pPr>
        <w:pStyle w:val="ListBullet2"/>
      </w:pPr>
      <w:r w:rsidRPr="00154F7E">
        <w:t>a single project which provides sufficient evidence of the requirements of all the elements and performance criteria</w:t>
      </w:r>
    </w:p>
    <w:p w:rsidR="00000000" w:rsidRPr="00154F7E" w:rsidP="00154F7E">
      <w:pPr>
        <w:pStyle w:val="ListBullet2"/>
      </w:pPr>
      <w:r w:rsidRPr="00154F7E">
        <w:t>multiple smaller projects which together provide sufficient evidence of the requirements of all the elements and performance criteria.</w:t>
      </w:r>
    </w:p>
    <w:p w:rsidR="00000000" w:rsidRPr="00154F7E" w:rsidP="00154F7E">
      <w:pPr>
        <w:pStyle w:val="ListBullet"/>
      </w:pPr>
      <w:r w:rsidRPr="00154F7E">
        <w:t xml:space="preserve">A </w:t>
      </w:r>
      <w:r w:rsidRPr="00154F7E">
        <w:t>third-party report, or similar, may be needed to testify to the work done by the individual, particularly when the project has been done as part of a project team.</w:t>
      </w:r>
    </w:p>
    <w:p w:rsidR="00000000" w:rsidRPr="00154F7E" w:rsidP="00154F7E">
      <w:pPr>
        <w:pStyle w:val="ListBullet"/>
      </w:pPr>
      <w:r w:rsidRPr="00154F7E">
        <w:t>Assessment should use a real project in an operational workplace. Where this is not possible or where personal safety or environmental damage are limiting factors assessment must occur using a sufficiently rigorous simulated environment that reflects reali</w:t>
      </w:r>
      <w:r w:rsidRPr="00154F7E">
        <w:t>stic operational workplace conditions. This must cover all aspects of workplace performance, including environment, task skills, task management skills, contingency management skills and job role environment skills.</w:t>
      </w:r>
    </w:p>
    <w:p w:rsidR="00000000" w:rsidRPr="00154F7E" w:rsidP="00154F7E">
      <w:pPr>
        <w:pStyle w:val="ListBullet"/>
      </w:pPr>
      <w:r w:rsidRPr="00154F7E">
        <w:t>Assessment in a simulated environment sh</w:t>
      </w:r>
      <w:r w:rsidRPr="00154F7E">
        <w:t xml:space="preserve">ould use evidence collected from demonstration of skills and one or more of: </w:t>
      </w:r>
    </w:p>
    <w:p w:rsidR="00000000" w:rsidRPr="00154F7E" w:rsidP="00154F7E">
      <w:pPr>
        <w:pStyle w:val="ListBullet2"/>
      </w:pPr>
      <w:r w:rsidRPr="00154F7E">
        <w:t>walk-throughs</w:t>
      </w:r>
    </w:p>
    <w:p w:rsidR="00000000" w:rsidRPr="00154F7E" w:rsidP="00154F7E">
      <w:pPr>
        <w:pStyle w:val="ListBullet2"/>
      </w:pPr>
      <w:r w:rsidRPr="00154F7E">
        <w:t>pilot plant operation</w:t>
      </w:r>
    </w:p>
    <w:p w:rsidR="00000000" w:rsidRPr="00154F7E" w:rsidP="00154F7E">
      <w:pPr>
        <w:pStyle w:val="ListBullet2"/>
      </w:pPr>
      <w:r w:rsidRPr="00154F7E">
        <w:t xml:space="preserve">industry-based case studies/scenarios </w:t>
      </w:r>
    </w:p>
    <w:p w:rsidR="00000000" w:rsidRPr="00154F7E" w:rsidP="00154F7E">
      <w:pPr>
        <w:pStyle w:val="ListBullet2"/>
      </w:pPr>
      <w:r w:rsidRPr="00154F7E">
        <w:t>‘what ifs’.</w:t>
      </w:r>
    </w:p>
    <w:p w:rsidR="00000000" w:rsidRPr="00154F7E" w:rsidP="00154F7E">
      <w:pPr>
        <w:pStyle w:val="ListBullet"/>
      </w:pPr>
      <w:r w:rsidRPr="00154F7E">
        <w:t xml:space="preserve">Knowledge evidence may be collected concurrently with performance evidence or through an </w:t>
      </w:r>
      <w:r w:rsidRPr="00154F7E">
        <w:t>independent process, such as workbooks, written assessments or interviews.</w:t>
      </w:r>
    </w:p>
    <w:p w:rsidR="00000000" w:rsidRPr="00154F7E" w:rsidP="00154F7E">
      <w:pPr>
        <w:pStyle w:val="ListBullet"/>
      </w:pPr>
      <w:r w:rsidRPr="00154F7E">
        <w:t>Assessment processes and techniques must be appropriate to the language, literacy and numeracy requirements of the work being performed and the needs of the candidate.</w:t>
      </w:r>
    </w:p>
    <w:p w:rsidR="00000000" w:rsidRPr="00154F7E" w:rsidP="00154F7E">
      <w:pPr>
        <w:pStyle w:val="ListBullet"/>
      </w:pPr>
      <w:r w:rsidRPr="00154F7E">
        <w:t>Conditions fo</w:t>
      </w:r>
      <w:r w:rsidRPr="00154F7E">
        <w:t xml:space="preserve">r assessment must include access to all tools, equipment, materials and documentation required, including relevant workplace procedures, product and manufacturing specifications associated with </w:t>
      </w:r>
      <w:r w:rsidRPr="00154F7E">
        <w:t>this unit.</w:t>
      </w:r>
    </w:p>
    <w:p w:rsidR="00000000" w:rsidRPr="00154F7E" w:rsidP="00154F7E">
      <w:pPr>
        <w:pStyle w:val="ListBullet"/>
      </w:pPr>
      <w:r w:rsidRPr="00154F7E">
        <w:t>The regulatory framework will be reflected in workp</w:t>
      </w:r>
      <w:r w:rsidRPr="00154F7E">
        <w:t>lace policies and procedures and is not required to be independently assessed.</w:t>
      </w:r>
    </w:p>
    <w:p w:rsidR="00000000" w:rsidRPr="00154F7E" w:rsidP="00154F7E">
      <w:pPr>
        <w:pStyle w:val="ListBullet"/>
      </w:pPr>
      <w:r w:rsidRPr="00154F7E">
        <w:t>Foundation skills are integral to competent performance of the unit and should not be assessed separately.</w:t>
      </w:r>
    </w:p>
    <w:p w:rsidR="00000000" w:rsidRPr="00154F7E" w:rsidP="00154F7E">
      <w:pPr>
        <w:pStyle w:val="ListBullet"/>
      </w:pPr>
      <w:r w:rsidRPr="00154F7E">
        <w:t>Assessors must satisfy the assessor competency requirements that are i</w:t>
      </w:r>
      <w:r w:rsidRPr="00154F7E">
        <w:t>n place at the time of the assessment as set by the VET regulator.</w:t>
      </w:r>
    </w:p>
    <w:p w:rsidR="00000000" w:rsidRPr="00154F7E" w:rsidP="00154F7E">
      <w:pPr>
        <w:pStyle w:val="ListBullet"/>
      </w:pPr>
      <w:r w:rsidRPr="00154F7E">
        <w:t xml:space="preserve">In addition the assessor or anyone acting in subject matter expert role in assessment shall demonstrate both technical competency and currency. If the assessor cannot demonstrate technical </w:t>
      </w:r>
      <w:r w:rsidRPr="00154F7E">
        <w:t xml:space="preserve">competency and currency they shall assess with a subject matter expert who does meet these requirements. </w:t>
      </w:r>
    </w:p>
    <w:p w:rsidR="00000000" w:rsidRPr="00154F7E" w:rsidP="00154F7E">
      <w:pPr>
        <w:pStyle w:val="ListBullet"/>
      </w:pPr>
      <w:r w:rsidRPr="00154F7E">
        <w:t>Technical competence can be demonstrated through one or more of:</w:t>
      </w:r>
    </w:p>
    <w:p w:rsidR="00000000" w:rsidRPr="00154F7E" w:rsidP="00154F7E">
      <w:pPr>
        <w:pStyle w:val="ListBullet2"/>
      </w:pPr>
      <w:r w:rsidRPr="00154F7E">
        <w:t xml:space="preserve">relevant VET or other qualification/Statement of Attainment </w:t>
      </w:r>
    </w:p>
    <w:p w:rsidR="00000000" w:rsidRPr="00154F7E" w:rsidP="00154F7E">
      <w:pPr>
        <w:pStyle w:val="ListBullet2"/>
      </w:pPr>
      <w:r w:rsidRPr="00154F7E">
        <w:t xml:space="preserve">appropriate workplace experience undertaking the type of work being assessed under routine and non-routine conditions </w:t>
      </w:r>
    </w:p>
    <w:p w:rsidR="00000000" w:rsidRPr="00154F7E" w:rsidP="00154F7E">
      <w:pPr>
        <w:pStyle w:val="ListBullet2"/>
      </w:pPr>
      <w:r w:rsidRPr="00154F7E">
        <w:t>appropriate workplace experience supervising/evaluating the type of work being assessed under routine and non-routine conditions</w:t>
      </w:r>
    </w:p>
    <w:p w:rsidR="00000000" w:rsidRPr="00154F7E" w:rsidP="00154F7E">
      <w:pPr>
        <w:pStyle w:val="ListBullet"/>
      </w:pPr>
      <w:r w:rsidRPr="00154F7E">
        <w:t>Currenc</w:t>
      </w:r>
      <w:r w:rsidRPr="00154F7E">
        <w:t>y can be demonstrated through one or more of:</w:t>
      </w:r>
    </w:p>
    <w:p w:rsidR="00000000" w:rsidRPr="00154F7E" w:rsidP="00154F7E">
      <w:pPr>
        <w:pStyle w:val="ListBullet2"/>
      </w:pPr>
      <w:r w:rsidRPr="00154F7E">
        <w:t xml:space="preserve">being currently employed undertaking the type of work being assessed </w:t>
      </w:r>
    </w:p>
    <w:p w:rsidR="00000000" w:rsidRPr="00154F7E" w:rsidP="00154F7E">
      <w:pPr>
        <w:pStyle w:val="ListBullet2"/>
      </w:pPr>
      <w:r w:rsidRPr="00154F7E">
        <w:t>being employed by the organisation undertaking the type of work being assessed and having maintained currency in accordance with that organ</w:t>
      </w:r>
      <w:r w:rsidRPr="00154F7E">
        <w:t xml:space="preserve">isation’s policies and procedures </w:t>
      </w:r>
    </w:p>
    <w:p w:rsidR="00000000" w:rsidRPr="00154F7E" w:rsidP="00154F7E">
      <w:pPr>
        <w:pStyle w:val="ListBullet2"/>
      </w:pPr>
      <w:r w:rsidRPr="00154F7E">
        <w:t xml:space="preserve">having consulted/had contact with an organisation undertaking the type of work being assessed within the last twelve months, the consultation/contact being related to assessment </w:t>
      </w:r>
    </w:p>
    <w:p w:rsidR="00000000" w:rsidRPr="00154F7E" w:rsidP="00154F7E">
      <w:pPr>
        <w:pStyle w:val="ListBullet2"/>
      </w:pPr>
      <w:r w:rsidRPr="00154F7E">
        <w:t>conducting on the job training/assessments</w:t>
      </w:r>
      <w:r w:rsidRPr="00154F7E">
        <w:t xml:space="preserve"> of the type of work being assessed </w:t>
      </w:r>
    </w:p>
    <w:p w:rsidR="00000000" w:rsidRPr="00154F7E" w:rsidP="00154F7E">
      <w:pPr>
        <w:pStyle w:val="ListBullet2"/>
      </w:pPr>
      <w:r w:rsidRPr="00154F7E">
        <w:t>being an active member of a relevant professional body and participating in activities relevant to the assessment of this type of work.</w:t>
      </w:r>
    </w:p>
    <w:p w:rsidR="00000000" w:rsidRPr="00154F7E" w:rsidP="00154F7E">
      <w:pPr>
        <w:pStyle w:val="AllowPageBreak"/>
      </w:pPr>
    </w:p>
    <w:p w:rsidR="00000000" w:rsidRPr="00154F7E" w:rsidP="00154F7E">
      <w:pPr>
        <w:pStyle w:val="Heading1"/>
      </w:pPr>
      <w:bookmarkStart w:id="15" w:name="O_929511"/>
      <w:bookmarkEnd w:id="15"/>
      <w:r w:rsidRPr="00154F7E">
        <w:t>Links</w:t>
      </w:r>
    </w:p>
    <w:p w:rsidR="00000000" w:rsidRPr="00154F7E" w:rsidP="002B3589">
      <w:pPr>
        <w:pStyle w:val="BodyText"/>
      </w:pPr>
      <w:r w:rsidRPr="00154F7E">
        <w:t>Companion Volume implementation guides are found in VETNet -</w:t>
      </w:r>
      <w:r w:rsidRPr="00154F7E">
        <w:t xml:space="preserve"> </w:t>
      </w:r>
      <w:r>
        <w:fldChar w:fldCharType="begin"/>
      </w:r>
      <w:r>
        <w:instrText xml:space="preserve"> HYPERLINK "https://vetnet.gov.au/Pages/TrainingDocs.aspx?q=45a7f1d5-61a5-447a-9688-7abbd7e1a5c7" </w:instrText>
      </w:r>
      <w:r>
        <w:fldChar w:fldCharType="separate"/>
      </w:r>
      <w:r w:rsidRPr="006B43C2">
        <w:rPr>
          <w:rStyle w:val="Hyperlink"/>
        </w:rPr>
        <w:t>https://vetnet.gov.au/Pages/TrainingDocs.aspx?q=45a7f1d5-61a5-447a-9688-7abbd7e1a5c7</w:t>
      </w:r>
      <w:r>
        <w:fldChar w:fldCharType="end"/>
      </w:r>
    </w:p>
    <w:p w:rsidR="00000000" w:rsidRPr="00154F7E" w:rsidP="00154F7E"/>
    <w:sectPr w:rsidSect="00154F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7E" w:rsidRPr="002B3589" w:rsidP="002B3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589" w:rsidP="00154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B3589" w:rsidP="00154F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B3589" w:rsidP="00154F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7E" w:rsidP="00154F7E">
    <w:pPr>
      <w:pStyle w:val="Footer"/>
      <w:framePr w:wrap="around"/>
    </w:pPr>
    <w:r>
      <w:fldChar w:fldCharType="begin"/>
    </w:r>
    <w:r>
      <w:instrText xml:space="preserve"> DOCPROPERTY  Subject  \* MERGEFORMAT </w:instrText>
    </w:r>
    <w:r>
      <w:fldChar w:fldCharType="separate"/>
    </w:r>
    <w:r w:rsidR="002B3589">
      <w:t>Approved</w:t>
    </w:r>
    <w:r w:rsidR="002B3589">
      <w:fldChar w:fldCharType="end"/>
    </w:r>
    <w:r>
      <w:tab/>
      <w:t xml:space="preserve">Page </w:t>
    </w:r>
    <w:r>
      <w:fldChar w:fldCharType="begin"/>
    </w:r>
    <w:r>
      <w:instrText xml:space="preserve"> PAGE  \* Arabic  \* MERGEFORMAT </w:instrText>
    </w:r>
    <w:r>
      <w:fldChar w:fldCharType="separate"/>
    </w:r>
    <w:r w:rsidR="002B35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3589">
      <w:rPr>
        <w:noProof/>
      </w:rPr>
      <w:t>6</w:t>
    </w:r>
    <w:r>
      <w:rPr>
        <w:noProof/>
      </w:rPr>
      <w:fldChar w:fldCharType="end"/>
    </w:r>
  </w:p>
  <w:p w:rsidR="00154F7E" w:rsidP="00154F7E">
    <w:pPr>
      <w:pStyle w:val="Footer"/>
      <w:framePr w:wrap="around"/>
    </w:pPr>
    <w:r>
      <w:t xml:space="preserve">© Commonwealth of Australia, </w:t>
    </w:r>
    <w:r>
      <w:fldChar w:fldCharType="begin"/>
    </w:r>
    <w:r>
      <w:instrText xml:space="preserve"> DATE  \@ "yyyy"  \* MERGEFORMAT </w:instrText>
    </w:r>
    <w:r>
      <w:fldChar w:fldCharType="separate"/>
    </w:r>
    <w:r w:rsidR="002B3589">
      <w:rPr>
        <w:noProof/>
      </w:rPr>
      <w:t>2025</w:t>
    </w:r>
    <w:r>
      <w:fldChar w:fldCharType="end"/>
    </w:r>
    <w:r>
      <w:tab/>
    </w:r>
    <w:r>
      <w:fldChar w:fldCharType="begin"/>
    </w:r>
    <w:r>
      <w:instrText xml:space="preserve"> DOCPROPERTY  Author  \* MERGEFORMAT </w:instrText>
    </w:r>
    <w:r>
      <w:fldChar w:fldCharType="separate"/>
    </w:r>
    <w:r w:rsidR="002B3589">
      <w:t>Manufacturing Industry Skills Alliance</w:t>
    </w:r>
    <w:r w:rsidR="002B3589">
      <w:fldChar w:fldCharType="end"/>
    </w:r>
  </w:p>
  <w:p w:rsidR="00154F7E" w:rsidP="00154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5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F7E" w:rsidRPr="002B3589" w:rsidP="002B35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589" w:rsidRPr="002D2AF8" w:rsidP="00154F7E">
    <w:pPr>
      <w:pStyle w:val="Header"/>
      <w:framePr w:wrap="around"/>
    </w:pPr>
    <w:r>
      <w:fldChar w:fldCharType="begin"/>
    </w:r>
    <w:r>
      <w:instrText xml:space="preserve"> TITLE   \* MERGEFORMAT </w:instrText>
    </w:r>
    <w:r>
      <w:fldChar w:fldCharType="separate"/>
    </w:r>
    <w:r>
      <w:t>PMC557098 Specify refractory installation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3589" w:rsidP="00154F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F7E" w:rsidRPr="002D2AF8" w:rsidP="00154F7E">
    <w:pPr>
      <w:pStyle w:val="Header"/>
      <w:framePr w:wrap="around"/>
    </w:pPr>
    <w:r>
      <w:fldChar w:fldCharType="begin"/>
    </w:r>
    <w:r>
      <w:instrText xml:space="preserve"> TITLE   \* MERGEFORMAT </w:instrText>
    </w:r>
    <w:r>
      <w:fldChar w:fldCharType="separate"/>
    </w:r>
    <w:r w:rsidR="002B3589">
      <w:t>PMC557098 Specify refractory installation systems</w:t>
    </w:r>
    <w:r w:rsidR="002B3589">
      <w:fldChar w:fldCharType="end"/>
    </w:r>
    <w:r>
      <w:tab/>
      <w:t xml:space="preserve">Date this document was generated: </w:t>
    </w:r>
    <w:r>
      <w:fldChar w:fldCharType="begin"/>
    </w:r>
    <w:r>
      <w:instrText xml:space="preserve"> CREATEDATE  \@ "d MMMM yyyy"  \* MERGEFORMAT </w:instrText>
    </w:r>
    <w:r>
      <w:fldChar w:fldCharType="separate"/>
    </w:r>
    <w:r w:rsidR="002B3589">
      <w:rPr>
        <w:noProof/>
      </w:rPr>
      <w:t>2 March 2025</w:t>
    </w:r>
    <w:r>
      <w:fldChar w:fldCharType="end"/>
    </w:r>
  </w:p>
  <w:p w:rsidR="00154F7E" w:rsidP="00154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281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D05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EB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F7E"/>
    <w:pPr>
      <w:spacing w:before="360" w:after="60"/>
      <w:outlineLvl w:val="0"/>
    </w:pPr>
    <w:rPr>
      <w:sz w:val="32"/>
    </w:rPr>
  </w:style>
  <w:style w:type="paragraph" w:styleId="Heading2">
    <w:name w:val="heading 2"/>
    <w:basedOn w:val="HeadingBase"/>
    <w:next w:val="BodyText"/>
    <w:link w:val="Heading2Char"/>
    <w:qFormat/>
    <w:rsid w:val="00154F7E"/>
    <w:pPr>
      <w:keepLines/>
      <w:spacing w:before="240" w:after="120"/>
      <w:outlineLvl w:val="1"/>
    </w:pPr>
    <w:rPr>
      <w:sz w:val="28"/>
      <w:szCs w:val="40"/>
    </w:rPr>
  </w:style>
  <w:style w:type="paragraph" w:styleId="Heading3">
    <w:name w:val="heading 3"/>
    <w:basedOn w:val="HeadingBase"/>
    <w:next w:val="BodyText"/>
    <w:link w:val="Heading3Char"/>
    <w:qFormat/>
    <w:rsid w:val="00154F7E"/>
    <w:pPr>
      <w:spacing w:before="180" w:after="120"/>
      <w:outlineLvl w:val="2"/>
    </w:pPr>
    <w:rPr>
      <w:spacing w:val="-10"/>
      <w:kern w:val="32"/>
    </w:rPr>
  </w:style>
  <w:style w:type="paragraph" w:styleId="Heading4">
    <w:name w:val="heading 4"/>
    <w:basedOn w:val="HeadingBase"/>
    <w:next w:val="BodyText"/>
    <w:link w:val="Heading4Char"/>
    <w:qFormat/>
    <w:rsid w:val="00154F7E"/>
    <w:pPr>
      <w:spacing w:before="160" w:after="120"/>
      <w:outlineLvl w:val="3"/>
    </w:pPr>
    <w:rPr>
      <w:sz w:val="22"/>
    </w:rPr>
  </w:style>
  <w:style w:type="paragraph" w:styleId="Heading5">
    <w:name w:val="heading 5"/>
    <w:basedOn w:val="HeadingBase"/>
    <w:next w:val="Normal"/>
    <w:link w:val="Heading5Char"/>
    <w:qFormat/>
    <w:rsid w:val="00154F7E"/>
    <w:pPr>
      <w:spacing w:before="80"/>
      <w:outlineLvl w:val="4"/>
    </w:pPr>
    <w:rPr>
      <w:color w:val="918585"/>
      <w:sz w:val="20"/>
    </w:rPr>
  </w:style>
  <w:style w:type="paragraph" w:styleId="Heading6">
    <w:name w:val="heading 6"/>
    <w:basedOn w:val="HeadingBase"/>
    <w:next w:val="Normal"/>
    <w:link w:val="Heading6Char"/>
    <w:qFormat/>
    <w:rsid w:val="00154F7E"/>
    <w:pPr>
      <w:spacing w:before="60"/>
      <w:outlineLvl w:val="5"/>
    </w:pPr>
    <w:rPr>
      <w:color w:val="918585"/>
      <w:sz w:val="20"/>
    </w:rPr>
  </w:style>
  <w:style w:type="paragraph" w:styleId="Heading7">
    <w:name w:val="heading 7"/>
    <w:basedOn w:val="Normal"/>
    <w:next w:val="Normal"/>
    <w:link w:val="Heading7Char"/>
    <w:qFormat/>
    <w:rsid w:val="00154F7E"/>
    <w:pPr>
      <w:ind w:left="720"/>
      <w:outlineLvl w:val="6"/>
    </w:pPr>
    <w:rPr>
      <w:i/>
    </w:rPr>
  </w:style>
  <w:style w:type="paragraph" w:styleId="Heading8">
    <w:name w:val="heading 8"/>
    <w:basedOn w:val="Normal"/>
    <w:next w:val="Normal"/>
    <w:link w:val="Heading8Char"/>
    <w:qFormat/>
    <w:rsid w:val="00154F7E"/>
    <w:pPr>
      <w:ind w:left="720"/>
      <w:outlineLvl w:val="7"/>
    </w:pPr>
    <w:rPr>
      <w:i/>
    </w:rPr>
  </w:style>
  <w:style w:type="paragraph" w:styleId="Heading9">
    <w:name w:val="heading 9"/>
    <w:basedOn w:val="Normal"/>
    <w:next w:val="Normal"/>
    <w:link w:val="Heading9Char"/>
    <w:qFormat/>
    <w:rsid w:val="00154F7E"/>
    <w:pPr>
      <w:ind w:left="720"/>
      <w:outlineLvl w:val="8"/>
    </w:pPr>
    <w:rPr>
      <w:i/>
    </w:rPr>
  </w:style>
  <w:style w:type="character" w:default="1" w:styleId="DefaultParagraphFont">
    <w:name w:val="Default Paragraph Font"/>
    <w:uiPriority w:val="1"/>
    <w:unhideWhenUsed/>
    <w:rsid w:val="00154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F7E"/>
  </w:style>
  <w:style w:type="character" w:customStyle="1" w:styleId="Heading1Char">
    <w:name w:val="Heading 1 Char"/>
    <w:basedOn w:val="DefaultParagraphFont"/>
    <w:link w:val="Heading1"/>
    <w:rsid w:val="00154F7E"/>
    <w:rPr>
      <w:rFonts w:ascii="Times New Roman" w:eastAsia="Times New Roman" w:hAnsi="Times New Roman" w:cs="Times New Roman"/>
      <w:b/>
      <w:sz w:val="32"/>
      <w:szCs w:val="20"/>
      <w:lang w:eastAsia="en-US"/>
    </w:rPr>
  </w:style>
  <w:style w:type="paragraph" w:styleId="BodyText">
    <w:name w:val="Body Text"/>
    <w:basedOn w:val="Normal"/>
    <w:link w:val="BodyTextChar"/>
    <w:rsid w:val="00154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F7E"/>
    <w:rPr>
      <w:rFonts w:ascii="Times New Roman" w:eastAsia="Times New Roman" w:hAnsi="Times New Roman" w:cs="Times New Roman"/>
      <w:sz w:val="24"/>
      <w:lang w:eastAsia="en-US"/>
    </w:rPr>
  </w:style>
  <w:style w:type="paragraph" w:styleId="ListBullet">
    <w:name w:val="List Bullet"/>
    <w:basedOn w:val="List"/>
    <w:rsid w:val="00154F7E"/>
    <w:pPr>
      <w:numPr>
        <w:numId w:val="12"/>
      </w:numPr>
      <w:tabs>
        <w:tab w:val="clear" w:pos="340"/>
      </w:tabs>
      <w:spacing w:before="40" w:after="40"/>
    </w:pPr>
  </w:style>
  <w:style w:type="character" w:customStyle="1" w:styleId="SpecialBold">
    <w:name w:val="Special Bold"/>
    <w:basedOn w:val="DefaultParagraphFont"/>
    <w:rsid w:val="00154F7E"/>
    <w:rPr>
      <w:b/>
      <w:spacing w:val="0"/>
    </w:rPr>
  </w:style>
  <w:style w:type="paragraph" w:styleId="ListBullet2">
    <w:name w:val="List Bullet 2"/>
    <w:basedOn w:val="List2"/>
    <w:rsid w:val="00154F7E"/>
    <w:pPr>
      <w:numPr>
        <w:numId w:val="13"/>
      </w:numPr>
      <w:tabs>
        <w:tab w:val="clear" w:pos="680"/>
      </w:tabs>
    </w:pPr>
  </w:style>
  <w:style w:type="paragraph" w:customStyle="1" w:styleId="SuperHeading">
    <w:name w:val="SuperHeading"/>
    <w:basedOn w:val="Normal"/>
    <w:rsid w:val="00154F7E"/>
    <w:pPr>
      <w:spacing w:before="240" w:after="120"/>
      <w:outlineLvl w:val="0"/>
    </w:pPr>
    <w:rPr>
      <w:rFonts w:ascii="Times New Roman" w:hAnsi="Times New Roman"/>
      <w:b/>
      <w:sz w:val="32"/>
    </w:rPr>
  </w:style>
  <w:style w:type="paragraph" w:customStyle="1" w:styleId="AllowPageBreak">
    <w:name w:val="AllowPageBreak"/>
    <w:rsid w:val="00154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4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F7E"/>
    <w:rPr>
      <w:rFonts w:ascii="Courier New" w:eastAsia="Times New Roman" w:hAnsi="Courier New" w:cs="Times New Roman"/>
      <w:i/>
      <w:szCs w:val="20"/>
      <w:lang w:eastAsia="en-US"/>
    </w:rPr>
  </w:style>
  <w:style w:type="paragraph" w:customStyle="1" w:styleId="HeadingBase">
    <w:name w:val="Heading Base"/>
    <w:rsid w:val="00154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F7E"/>
    <w:pPr>
      <w:tabs>
        <w:tab w:val="right" w:leader="dot" w:pos="9072"/>
      </w:tabs>
      <w:ind w:left="567"/>
    </w:pPr>
    <w:rPr>
      <w:szCs w:val="22"/>
    </w:rPr>
  </w:style>
  <w:style w:type="paragraph" w:customStyle="1" w:styleId="TOCBase">
    <w:name w:val="TOC Base"/>
    <w:rsid w:val="00154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F7E"/>
    <w:pPr>
      <w:tabs>
        <w:tab w:val="right" w:leader="dot" w:pos="9072"/>
      </w:tabs>
      <w:spacing w:before="40" w:after="40"/>
      <w:ind w:left="284"/>
    </w:pPr>
    <w:rPr>
      <w:rFonts w:ascii="Times New Roman" w:hAnsi="Times New Roman"/>
    </w:rPr>
  </w:style>
  <w:style w:type="paragraph" w:styleId="TOC1">
    <w:name w:val="toc 1"/>
    <w:basedOn w:val="TOCBase"/>
    <w:next w:val="Normal"/>
    <w:rsid w:val="00154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F7E"/>
    <w:rPr>
      <w:rFonts w:ascii="Times New Roman" w:eastAsia="Times New Roman" w:hAnsi="Times New Roman" w:cs="Times New Roman"/>
      <w:sz w:val="16"/>
      <w:lang w:eastAsia="en-US"/>
    </w:rPr>
  </w:style>
  <w:style w:type="paragraph" w:styleId="Title">
    <w:name w:val="Title"/>
    <w:basedOn w:val="HeadingBase"/>
    <w:link w:val="TitleChar"/>
    <w:qFormat/>
    <w:rsid w:val="00154F7E"/>
    <w:pPr>
      <w:spacing w:before="5040"/>
      <w:jc w:val="center"/>
    </w:pPr>
    <w:rPr>
      <w:sz w:val="48"/>
      <w:szCs w:val="72"/>
      <w:lang w:val="en-US"/>
    </w:rPr>
  </w:style>
  <w:style w:type="character" w:customStyle="1" w:styleId="TitleChar">
    <w:name w:val="Title Char"/>
    <w:basedOn w:val="DefaultParagraphFont"/>
    <w:link w:val="Title"/>
    <w:rsid w:val="00154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F7E"/>
    <w:pPr>
      <w:tabs>
        <w:tab w:val="left" w:pos="3600"/>
        <w:tab w:val="left" w:pos="3958"/>
      </w:tabs>
    </w:pPr>
  </w:style>
  <w:style w:type="paragraph" w:styleId="List">
    <w:name w:val="List"/>
    <w:basedOn w:val="BodyText"/>
    <w:next w:val="BodyText"/>
    <w:rsid w:val="00154F7E"/>
    <w:pPr>
      <w:tabs>
        <w:tab w:val="left" w:pos="340"/>
      </w:tabs>
      <w:spacing w:before="60" w:after="60"/>
      <w:ind w:left="340" w:hanging="340"/>
    </w:pPr>
  </w:style>
  <w:style w:type="paragraph" w:customStyle="1" w:styleId="Note">
    <w:name w:val="Note"/>
    <w:basedOn w:val="BodyText"/>
    <w:rsid w:val="00154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F7E"/>
    <w:pPr>
      <w:framePr w:wrap="auto" w:hAnchor="text" w:y="6049"/>
    </w:pPr>
    <w:rPr>
      <w:color w:val="000000"/>
      <w:sz w:val="40"/>
    </w:rPr>
  </w:style>
  <w:style w:type="paragraph" w:customStyle="1" w:styleId="TOCTitle">
    <w:name w:val="TOCTitle"/>
    <w:basedOn w:val="Heading1"/>
    <w:rsid w:val="00154F7E"/>
    <w:pPr>
      <w:spacing w:after="240"/>
      <w:jc w:val="center"/>
      <w:outlineLvl w:val="9"/>
    </w:pPr>
    <w:rPr>
      <w:caps/>
    </w:rPr>
  </w:style>
  <w:style w:type="paragraph" w:customStyle="1" w:styleId="Version">
    <w:name w:val="Version"/>
    <w:rsid w:val="00154F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F7E"/>
    <w:pPr>
      <w:keepNext w:val="0"/>
      <w:tabs>
        <w:tab w:val="right" w:pos="4176"/>
      </w:tabs>
      <w:ind w:left="198" w:hanging="198"/>
    </w:pPr>
    <w:rPr>
      <w:rFonts w:ascii="Garamond" w:hAnsi="Garamond"/>
    </w:rPr>
  </w:style>
  <w:style w:type="paragraph" w:styleId="IndexHeading">
    <w:name w:val="index heading"/>
    <w:basedOn w:val="Normal"/>
    <w:next w:val="Index1"/>
    <w:semiHidden/>
    <w:rsid w:val="00154F7E"/>
    <w:pPr>
      <w:spacing w:before="120" w:after="120"/>
    </w:pPr>
    <w:rPr>
      <w:rFonts w:ascii="Arial" w:hAnsi="Arial"/>
      <w:b/>
      <w:color w:val="918585"/>
      <w:sz w:val="24"/>
    </w:rPr>
  </w:style>
  <w:style w:type="paragraph" w:styleId="Header">
    <w:name w:val="header"/>
    <w:basedOn w:val="Normal"/>
    <w:link w:val="HeaderChar"/>
    <w:rsid w:val="00154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F7E"/>
    <w:rPr>
      <w:rFonts w:ascii="Times New Roman" w:eastAsia="Times New Roman" w:hAnsi="Times New Roman" w:cs="Times New Roman"/>
      <w:sz w:val="16"/>
      <w:szCs w:val="20"/>
      <w:lang w:val="en-GB" w:eastAsia="en-US"/>
    </w:rPr>
  </w:style>
  <w:style w:type="paragraph" w:customStyle="1" w:styleId="Chapter">
    <w:name w:val="Chapter"/>
    <w:basedOn w:val="Normal"/>
    <w:rsid w:val="00154F7E"/>
    <w:pPr>
      <w:spacing w:before="240"/>
    </w:pPr>
    <w:rPr>
      <w:rFonts w:ascii="Times New Roman" w:hAnsi="Times New Roman"/>
      <w:smallCaps/>
      <w:spacing w:val="80"/>
      <w:sz w:val="28"/>
    </w:rPr>
  </w:style>
  <w:style w:type="paragraph" w:customStyle="1" w:styleId="InChapter">
    <w:name w:val="InChapter"/>
    <w:basedOn w:val="Heading3"/>
    <w:rsid w:val="00154F7E"/>
    <w:pPr>
      <w:spacing w:after="240"/>
      <w:outlineLvl w:val="9"/>
    </w:pPr>
    <w:rPr>
      <w:noProof/>
    </w:rPr>
  </w:style>
  <w:style w:type="paragraph" w:styleId="Index2">
    <w:name w:val="index 2"/>
    <w:basedOn w:val="Normal"/>
    <w:next w:val="Normal"/>
    <w:semiHidden/>
    <w:rsid w:val="00154F7E"/>
    <w:pPr>
      <w:tabs>
        <w:tab w:val="right" w:pos="4176"/>
      </w:tabs>
      <w:ind w:left="568" w:hanging="284"/>
    </w:pPr>
    <w:rPr>
      <w:rFonts w:ascii="Garamond" w:hAnsi="Garamond"/>
    </w:rPr>
  </w:style>
  <w:style w:type="paragraph" w:customStyle="1" w:styleId="Byline">
    <w:name w:val="Byline"/>
    <w:rsid w:val="00154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F7E"/>
    <w:pPr>
      <w:tabs>
        <w:tab w:val="clear" w:pos="3600"/>
        <w:tab w:val="clear" w:pos="3958"/>
      </w:tabs>
      <w:jc w:val="right"/>
    </w:pPr>
  </w:style>
  <w:style w:type="character" w:styleId="Emphasis">
    <w:name w:val="Emphasis"/>
    <w:basedOn w:val="DefaultParagraphFont"/>
    <w:qFormat/>
    <w:rsid w:val="00154F7E"/>
    <w:rPr>
      <w:i/>
    </w:rPr>
  </w:style>
  <w:style w:type="paragraph" w:styleId="Caption">
    <w:name w:val="caption"/>
    <w:basedOn w:val="BodyText"/>
    <w:next w:val="Normal"/>
    <w:qFormat/>
    <w:rsid w:val="00154F7E"/>
    <w:pPr>
      <w:framePr w:w="2268" w:hSpace="181" w:vSpace="181" w:wrap="around" w:vAnchor="text" w:hAnchor="page" w:x="1135" w:y="285" w:anchorLock="1"/>
    </w:pPr>
    <w:rPr>
      <w:i/>
    </w:rPr>
  </w:style>
  <w:style w:type="paragraph" w:customStyle="1" w:styleId="MiniTOCTitle">
    <w:name w:val="MiniTOCTitle"/>
    <w:basedOn w:val="Heading4"/>
    <w:rsid w:val="00154F7E"/>
    <w:pPr>
      <w:spacing w:before="240"/>
      <w:outlineLvl w:val="9"/>
    </w:pPr>
    <w:rPr>
      <w:noProof/>
      <w:sz w:val="24"/>
    </w:rPr>
  </w:style>
  <w:style w:type="paragraph" w:customStyle="1" w:styleId="MiniTOCItem">
    <w:name w:val="MiniTOCItem"/>
    <w:basedOn w:val="ListBullet"/>
    <w:rsid w:val="00154F7E"/>
    <w:pPr>
      <w:numPr>
        <w:numId w:val="0"/>
      </w:numPr>
      <w:tabs>
        <w:tab w:val="right" w:leader="dot" w:pos="6521"/>
      </w:tabs>
      <w:spacing w:before="0" w:after="0"/>
    </w:pPr>
  </w:style>
  <w:style w:type="paragraph" w:customStyle="1" w:styleId="TOFTitle">
    <w:name w:val="TOFTitle"/>
    <w:basedOn w:val="TOCTitle"/>
    <w:rsid w:val="00154F7E"/>
  </w:style>
  <w:style w:type="paragraph" w:styleId="TableofFigures">
    <w:name w:val="table of figures"/>
    <w:basedOn w:val="Normal"/>
    <w:next w:val="Normal"/>
    <w:semiHidden/>
    <w:rsid w:val="00154F7E"/>
    <w:pPr>
      <w:tabs>
        <w:tab w:val="right" w:leader="dot" w:pos="9072"/>
      </w:tabs>
      <w:ind w:left="970" w:hanging="403"/>
    </w:pPr>
    <w:rPr>
      <w:rFonts w:ascii="Times New Roman" w:hAnsi="Times New Roman"/>
      <w:b/>
    </w:rPr>
  </w:style>
  <w:style w:type="paragraph" w:styleId="ListNumber">
    <w:name w:val="List Number"/>
    <w:basedOn w:val="List"/>
    <w:rsid w:val="00154F7E"/>
    <w:pPr>
      <w:numPr>
        <w:numId w:val="15"/>
      </w:numPr>
      <w:tabs>
        <w:tab w:val="clear" w:pos="340"/>
      </w:tabs>
    </w:pPr>
  </w:style>
  <w:style w:type="character" w:customStyle="1" w:styleId="WingdingSymbols">
    <w:name w:val="Wingding Symbols"/>
    <w:rsid w:val="00154F7E"/>
    <w:rPr>
      <w:rFonts w:ascii="Wingdings" w:hAnsi="Wingdings"/>
    </w:rPr>
  </w:style>
  <w:style w:type="paragraph" w:customStyle="1" w:styleId="TableHeading">
    <w:name w:val="Table Heading"/>
    <w:basedOn w:val="HeadingBase"/>
    <w:rsid w:val="00154F7E"/>
    <w:pPr>
      <w:keepLines/>
      <w:pBdr>
        <w:bottom w:val="single" w:sz="6" w:space="1" w:color="918585"/>
      </w:pBdr>
      <w:spacing w:before="240"/>
    </w:pPr>
  </w:style>
  <w:style w:type="character" w:customStyle="1" w:styleId="HotSpot">
    <w:name w:val="HotSpot"/>
    <w:rsid w:val="00154F7E"/>
    <w:rPr>
      <w:color w:val="0033CC"/>
      <w:u w:val="none"/>
    </w:rPr>
  </w:style>
  <w:style w:type="paragraph" w:customStyle="1" w:styleId="BodyTextRight">
    <w:name w:val="Body Text Right"/>
    <w:basedOn w:val="BodyText"/>
    <w:rsid w:val="00154F7E"/>
    <w:pPr>
      <w:spacing w:before="0" w:after="0"/>
      <w:jc w:val="right"/>
    </w:pPr>
  </w:style>
  <w:style w:type="paragraph" w:styleId="Index3">
    <w:name w:val="index 3"/>
    <w:basedOn w:val="ListNumber2"/>
    <w:next w:val="Normal"/>
    <w:semiHidden/>
    <w:rsid w:val="00154F7E"/>
    <w:pPr>
      <w:numPr>
        <w:numId w:val="0"/>
      </w:numPr>
      <w:tabs>
        <w:tab w:val="right" w:leader="dot" w:pos="4176"/>
      </w:tabs>
    </w:pPr>
  </w:style>
  <w:style w:type="paragraph" w:styleId="ListNumber2">
    <w:name w:val="List Number 2"/>
    <w:basedOn w:val="List2"/>
    <w:rsid w:val="00154F7E"/>
    <w:pPr>
      <w:numPr>
        <w:numId w:val="10"/>
      </w:numPr>
      <w:tabs>
        <w:tab w:val="clear" w:pos="1060"/>
      </w:tabs>
    </w:pPr>
  </w:style>
  <w:style w:type="paragraph" w:customStyle="1" w:styleId="MarginNote">
    <w:name w:val="Margin Note"/>
    <w:basedOn w:val="BodyText"/>
    <w:rsid w:val="00154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F7E"/>
    <w:rPr>
      <w:sz w:val="32"/>
    </w:rPr>
  </w:style>
  <w:style w:type="paragraph" w:customStyle="1" w:styleId="HeadingProcedure">
    <w:name w:val="Heading Procedure"/>
    <w:basedOn w:val="HeadingBase"/>
    <w:next w:val="Normal"/>
    <w:rsid w:val="00154F7E"/>
    <w:pPr>
      <w:tabs>
        <w:tab w:val="left" w:pos="0"/>
      </w:tabs>
      <w:spacing w:before="120" w:after="60"/>
    </w:pPr>
    <w:rPr>
      <w:i/>
      <w:color w:val="918585"/>
      <w:sz w:val="22"/>
    </w:rPr>
  </w:style>
  <w:style w:type="paragraph" w:customStyle="1" w:styleId="TableBodyText">
    <w:name w:val="Table Body Text"/>
    <w:basedOn w:val="BodyText"/>
    <w:rsid w:val="00154F7E"/>
    <w:pPr>
      <w:spacing w:before="60" w:after="60"/>
    </w:pPr>
  </w:style>
  <w:style w:type="paragraph" w:styleId="ListContinue">
    <w:name w:val="List Continue"/>
    <w:basedOn w:val="List"/>
    <w:rsid w:val="00154F7E"/>
    <w:pPr>
      <w:ind w:firstLine="0"/>
    </w:pPr>
  </w:style>
  <w:style w:type="paragraph" w:customStyle="1" w:styleId="ListNote">
    <w:name w:val="List Note"/>
    <w:basedOn w:val="List"/>
    <w:rsid w:val="00154F7E"/>
    <w:pPr>
      <w:pBdr>
        <w:top w:val="single" w:sz="6" w:space="2" w:color="918585"/>
        <w:bottom w:val="single" w:sz="6" w:space="2" w:color="918585"/>
      </w:pBdr>
      <w:tabs>
        <w:tab w:val="left" w:pos="1021"/>
      </w:tabs>
      <w:ind w:firstLine="0"/>
    </w:pPr>
  </w:style>
  <w:style w:type="paragraph" w:customStyle="1" w:styleId="Warning">
    <w:name w:val="Warning"/>
    <w:basedOn w:val="BodyText"/>
    <w:rsid w:val="00154F7E"/>
    <w:pPr>
      <w:shd w:val="clear" w:color="auto" w:fill="D9D9D9"/>
      <w:tabs>
        <w:tab w:val="left" w:pos="992"/>
      </w:tabs>
      <w:ind w:left="119" w:right="119"/>
    </w:pPr>
    <w:rPr>
      <w:sz w:val="20"/>
    </w:rPr>
  </w:style>
  <w:style w:type="paragraph" w:customStyle="1" w:styleId="MarginIcons">
    <w:name w:val="Margin Icons"/>
    <w:basedOn w:val="BodyText"/>
    <w:rsid w:val="00154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F7E"/>
    <w:rPr>
      <w:rFonts w:ascii="Courier New" w:hAnsi="Courier New"/>
    </w:rPr>
  </w:style>
  <w:style w:type="paragraph" w:customStyle="1" w:styleId="NoteBullet">
    <w:name w:val="Note Bullet"/>
    <w:basedOn w:val="Note"/>
    <w:rsid w:val="00154F7E"/>
    <w:pPr>
      <w:tabs>
        <w:tab w:val="clear" w:pos="680"/>
      </w:tabs>
      <w:spacing w:before="60" w:after="60"/>
    </w:pPr>
  </w:style>
  <w:style w:type="paragraph" w:customStyle="1" w:styleId="SubHeading2">
    <w:name w:val="SubHeading2"/>
    <w:basedOn w:val="HeadingBase"/>
    <w:rsid w:val="00154F7E"/>
    <w:pPr>
      <w:spacing w:before="240" w:after="60"/>
    </w:pPr>
    <w:rPr>
      <w:sz w:val="20"/>
    </w:rPr>
  </w:style>
  <w:style w:type="paragraph" w:customStyle="1" w:styleId="SubHeading1">
    <w:name w:val="SubHeading1"/>
    <w:basedOn w:val="HeadingBase"/>
    <w:rsid w:val="00154F7E"/>
    <w:pPr>
      <w:spacing w:before="240" w:after="60"/>
    </w:pPr>
    <w:rPr>
      <w:color w:val="918585"/>
      <w:sz w:val="22"/>
    </w:rPr>
  </w:style>
  <w:style w:type="paragraph" w:customStyle="1" w:styleId="SideHeading">
    <w:name w:val="Side Heading"/>
    <w:basedOn w:val="HeadingBase"/>
    <w:rsid w:val="00154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F7E"/>
    <w:pPr>
      <w:tabs>
        <w:tab w:val="num" w:pos="360"/>
      </w:tabs>
    </w:pPr>
  </w:style>
  <w:style w:type="paragraph" w:styleId="PlainText">
    <w:name w:val="Plain Text"/>
    <w:basedOn w:val="Normal"/>
    <w:link w:val="PlainTextChar"/>
    <w:rsid w:val="00154F7E"/>
    <w:rPr>
      <w:sz w:val="20"/>
    </w:rPr>
  </w:style>
  <w:style w:type="character" w:customStyle="1" w:styleId="PlainTextChar">
    <w:name w:val="Plain Text Char"/>
    <w:basedOn w:val="DefaultParagraphFont"/>
    <w:link w:val="PlainText"/>
    <w:rsid w:val="00154F7E"/>
    <w:rPr>
      <w:rFonts w:ascii="Courier New" w:eastAsia="Times New Roman" w:hAnsi="Courier New" w:cs="Times New Roman"/>
      <w:sz w:val="20"/>
      <w:szCs w:val="20"/>
      <w:lang w:eastAsia="en-US"/>
    </w:rPr>
  </w:style>
  <w:style w:type="character" w:customStyle="1" w:styleId="MenuOption">
    <w:name w:val="Menu Option"/>
    <w:basedOn w:val="DefaultParagraphFont"/>
    <w:rsid w:val="00154F7E"/>
    <w:rPr>
      <w:b/>
      <w:smallCaps/>
    </w:rPr>
  </w:style>
  <w:style w:type="paragraph" w:customStyle="1" w:styleId="TableListNumber">
    <w:name w:val="Table List Number"/>
    <w:basedOn w:val="ListNumber"/>
    <w:rsid w:val="00154F7E"/>
    <w:pPr>
      <w:numPr>
        <w:numId w:val="0"/>
      </w:numPr>
    </w:pPr>
  </w:style>
  <w:style w:type="paragraph" w:styleId="TOC4">
    <w:name w:val="toc 4"/>
    <w:basedOn w:val="TOCBase"/>
    <w:next w:val="Normal"/>
    <w:semiHidden/>
    <w:rsid w:val="00154F7E"/>
    <w:pPr>
      <w:tabs>
        <w:tab w:val="right" w:leader="dot" w:pos="9071"/>
      </w:tabs>
      <w:ind w:left="1701"/>
    </w:pPr>
  </w:style>
  <w:style w:type="paragraph" w:customStyle="1" w:styleId="ListAlpha">
    <w:name w:val="List Alpha"/>
    <w:basedOn w:val="List"/>
    <w:rsid w:val="00154F7E"/>
    <w:pPr>
      <w:numPr>
        <w:numId w:val="9"/>
      </w:numPr>
    </w:pPr>
  </w:style>
  <w:style w:type="paragraph" w:customStyle="1" w:styleId="ListAlpha2">
    <w:name w:val="List Alpha 2"/>
    <w:basedOn w:val="List2"/>
    <w:rsid w:val="00154F7E"/>
    <w:pPr>
      <w:numPr>
        <w:numId w:val="8"/>
      </w:numPr>
    </w:pPr>
  </w:style>
  <w:style w:type="paragraph" w:styleId="List2">
    <w:name w:val="List 2"/>
    <w:basedOn w:val="BodyText"/>
    <w:rsid w:val="00154F7E"/>
    <w:pPr>
      <w:tabs>
        <w:tab w:val="left" w:pos="680"/>
      </w:tabs>
      <w:spacing w:before="60" w:after="60"/>
      <w:ind w:left="680" w:hanging="340"/>
    </w:pPr>
  </w:style>
  <w:style w:type="paragraph" w:styleId="List3">
    <w:name w:val="List 3"/>
    <w:basedOn w:val="BodyText"/>
    <w:rsid w:val="00154F7E"/>
    <w:pPr>
      <w:tabs>
        <w:tab w:val="left" w:pos="1021"/>
      </w:tabs>
      <w:spacing w:before="60" w:after="60"/>
      <w:ind w:left="1020" w:hanging="340"/>
    </w:pPr>
  </w:style>
  <w:style w:type="paragraph" w:styleId="List4">
    <w:name w:val="List 4"/>
    <w:basedOn w:val="BodyText"/>
    <w:rsid w:val="00154F7E"/>
    <w:pPr>
      <w:tabs>
        <w:tab w:val="left" w:pos="1361"/>
      </w:tabs>
      <w:spacing w:before="60" w:after="60"/>
      <w:ind w:left="1361" w:hanging="340"/>
    </w:pPr>
  </w:style>
  <w:style w:type="paragraph" w:styleId="List5">
    <w:name w:val="List 5"/>
    <w:basedOn w:val="BodyText"/>
    <w:rsid w:val="00154F7E"/>
    <w:pPr>
      <w:tabs>
        <w:tab w:val="left" w:pos="1701"/>
      </w:tabs>
      <w:spacing w:before="60" w:after="60"/>
      <w:ind w:left="1701" w:hanging="340"/>
    </w:pPr>
  </w:style>
  <w:style w:type="paragraph" w:styleId="ListBullet3">
    <w:name w:val="List Bullet 3"/>
    <w:basedOn w:val="List3"/>
    <w:rsid w:val="00154F7E"/>
    <w:pPr>
      <w:numPr>
        <w:numId w:val="14"/>
      </w:numPr>
      <w:tabs>
        <w:tab w:val="clear" w:pos="1021"/>
      </w:tabs>
      <w:ind w:left="1037" w:hanging="357"/>
    </w:pPr>
  </w:style>
  <w:style w:type="paragraph" w:styleId="ListBullet4">
    <w:name w:val="List Bullet 4"/>
    <w:basedOn w:val="List4"/>
    <w:rsid w:val="00154F7E"/>
    <w:pPr>
      <w:numPr>
        <w:numId w:val="3"/>
      </w:numPr>
      <w:tabs>
        <w:tab w:val="clear" w:pos="1361"/>
      </w:tabs>
    </w:pPr>
  </w:style>
  <w:style w:type="paragraph" w:styleId="ListBullet5">
    <w:name w:val="List Bullet 5"/>
    <w:basedOn w:val="List5"/>
    <w:rsid w:val="00154F7E"/>
    <w:pPr>
      <w:numPr>
        <w:numId w:val="4"/>
      </w:numPr>
    </w:pPr>
  </w:style>
  <w:style w:type="paragraph" w:styleId="ListContinue2">
    <w:name w:val="List Continue 2"/>
    <w:basedOn w:val="List2"/>
    <w:rsid w:val="00154F7E"/>
    <w:pPr>
      <w:ind w:firstLine="0"/>
    </w:pPr>
  </w:style>
  <w:style w:type="paragraph" w:styleId="ListContinue3">
    <w:name w:val="List Continue 3"/>
    <w:basedOn w:val="List3"/>
    <w:rsid w:val="00154F7E"/>
    <w:pPr>
      <w:ind w:left="1021" w:firstLine="0"/>
    </w:pPr>
  </w:style>
  <w:style w:type="paragraph" w:styleId="ListContinue4">
    <w:name w:val="List Continue 4"/>
    <w:basedOn w:val="List4"/>
    <w:rsid w:val="00154F7E"/>
    <w:pPr>
      <w:ind w:firstLine="0"/>
    </w:pPr>
  </w:style>
  <w:style w:type="paragraph" w:styleId="ListContinue5">
    <w:name w:val="List Continue 5"/>
    <w:basedOn w:val="List5"/>
    <w:rsid w:val="00154F7E"/>
    <w:pPr>
      <w:ind w:firstLine="0"/>
    </w:pPr>
  </w:style>
  <w:style w:type="paragraph" w:styleId="ListNumber3">
    <w:name w:val="List Number 3"/>
    <w:basedOn w:val="List3"/>
    <w:rsid w:val="00154F7E"/>
    <w:pPr>
      <w:numPr>
        <w:numId w:val="5"/>
      </w:numPr>
    </w:pPr>
  </w:style>
  <w:style w:type="paragraph" w:styleId="ListNumber4">
    <w:name w:val="List Number 4"/>
    <w:basedOn w:val="List4"/>
    <w:rsid w:val="00154F7E"/>
    <w:pPr>
      <w:numPr>
        <w:numId w:val="6"/>
      </w:numPr>
    </w:pPr>
  </w:style>
  <w:style w:type="paragraph" w:styleId="ListNumber5">
    <w:name w:val="List Number 5"/>
    <w:basedOn w:val="List5"/>
    <w:rsid w:val="00154F7E"/>
    <w:pPr>
      <w:numPr>
        <w:numId w:val="7"/>
      </w:numPr>
    </w:pPr>
  </w:style>
  <w:style w:type="paragraph" w:styleId="BlockText">
    <w:name w:val="Block Text"/>
    <w:basedOn w:val="Normal"/>
    <w:rsid w:val="00154F7E"/>
    <w:pPr>
      <w:spacing w:after="120"/>
      <w:ind w:left="1440" w:right="1440"/>
    </w:pPr>
  </w:style>
  <w:style w:type="character" w:customStyle="1" w:styleId="Subscript">
    <w:name w:val="Subscript"/>
    <w:basedOn w:val="DefaultParagraphFont"/>
    <w:rsid w:val="00154F7E"/>
    <w:rPr>
      <w:sz w:val="16"/>
      <w:vertAlign w:val="subscript"/>
    </w:rPr>
  </w:style>
  <w:style w:type="character" w:customStyle="1" w:styleId="Superscript">
    <w:name w:val="Superscript"/>
    <w:basedOn w:val="DefaultParagraphFont"/>
    <w:rsid w:val="00154F7E"/>
    <w:rPr>
      <w:sz w:val="16"/>
      <w:vertAlign w:val="superscript"/>
    </w:rPr>
  </w:style>
  <w:style w:type="character" w:customStyle="1" w:styleId="Symbols">
    <w:name w:val="Symbols"/>
    <w:basedOn w:val="DefaultParagraphFont"/>
    <w:rsid w:val="00154F7E"/>
    <w:rPr>
      <w:rFonts w:ascii="Symbol" w:hAnsi="Symbol"/>
    </w:rPr>
  </w:style>
  <w:style w:type="character" w:customStyle="1" w:styleId="MenuOptions">
    <w:name w:val="Menu Options"/>
    <w:basedOn w:val="DefaultParagraphFont"/>
    <w:rsid w:val="00154F7E"/>
    <w:rPr>
      <w:rFonts w:ascii="Arial Narrow" w:hAnsi="Arial Narrow"/>
      <w:smallCaps/>
    </w:rPr>
  </w:style>
  <w:style w:type="character" w:customStyle="1" w:styleId="Buttons">
    <w:name w:val="Buttons"/>
    <w:basedOn w:val="DefaultParagraphFont"/>
    <w:rsid w:val="00154F7E"/>
    <w:rPr>
      <w:b/>
    </w:rPr>
  </w:style>
  <w:style w:type="character" w:customStyle="1" w:styleId="Underlined">
    <w:name w:val="Underlined"/>
    <w:basedOn w:val="DefaultParagraphFont"/>
    <w:rsid w:val="00154F7E"/>
    <w:rPr>
      <w:u w:val="single"/>
    </w:rPr>
  </w:style>
  <w:style w:type="paragraph" w:customStyle="1" w:styleId="TableBodyTextRight">
    <w:name w:val="Table Body Text Right"/>
    <w:basedOn w:val="TableBodyText"/>
    <w:rsid w:val="00154F7E"/>
    <w:pPr>
      <w:widowControl w:val="0"/>
      <w:autoSpaceDE w:val="0"/>
      <w:autoSpaceDN w:val="0"/>
      <w:adjustRightInd w:val="0"/>
      <w:jc w:val="right"/>
    </w:pPr>
    <w:rPr>
      <w:rFonts w:cs="Arial"/>
      <w:szCs w:val="18"/>
    </w:rPr>
  </w:style>
  <w:style w:type="paragraph" w:customStyle="1" w:styleId="CopyrightText">
    <w:name w:val="Copyright Text"/>
    <w:basedOn w:val="BodyText"/>
    <w:rsid w:val="00154F7E"/>
    <w:rPr>
      <w:sz w:val="18"/>
    </w:rPr>
  </w:style>
  <w:style w:type="paragraph" w:customStyle="1" w:styleId="BodySmallRight">
    <w:name w:val="Body Small Right"/>
    <w:basedOn w:val="BodyTextRight"/>
    <w:rsid w:val="00154F7E"/>
    <w:rPr>
      <w:sz w:val="18"/>
      <w:szCs w:val="18"/>
    </w:rPr>
  </w:style>
  <w:style w:type="paragraph" w:customStyle="1" w:styleId="MarginEdition">
    <w:name w:val="Margin Edition"/>
    <w:basedOn w:val="MarginNote"/>
    <w:rsid w:val="00154F7E"/>
    <w:pPr>
      <w:spacing w:before="0" w:after="0"/>
    </w:pPr>
    <w:rPr>
      <w:rFonts w:ascii="Times New Roman" w:hAnsi="Times New Roman"/>
      <w:color w:val="999999"/>
    </w:rPr>
  </w:style>
  <w:style w:type="paragraph" w:customStyle="1" w:styleId="Spacer">
    <w:name w:val="Spacer"/>
    <w:basedOn w:val="Normal"/>
    <w:rsid w:val="00154F7E"/>
    <w:rPr>
      <w:sz w:val="2"/>
      <w:szCs w:val="2"/>
    </w:rPr>
  </w:style>
  <w:style w:type="character" w:customStyle="1" w:styleId="Small">
    <w:name w:val="Small"/>
    <w:basedOn w:val="DefaultParagraphFont"/>
    <w:rsid w:val="00154F7E"/>
    <w:rPr>
      <w:sz w:val="16"/>
    </w:rPr>
  </w:style>
  <w:style w:type="paragraph" w:customStyle="1" w:styleId="WideTable">
    <w:name w:val="Wide Table"/>
    <w:basedOn w:val="Normal"/>
    <w:rsid w:val="00154F7E"/>
    <w:pPr>
      <w:ind w:left="-1418"/>
    </w:pPr>
    <w:rPr>
      <w:sz w:val="2"/>
      <w:szCs w:val="2"/>
    </w:rPr>
  </w:style>
  <w:style w:type="character" w:styleId="PageNumber">
    <w:name w:val="page number"/>
    <w:basedOn w:val="DefaultParagraphFont"/>
    <w:rsid w:val="00154F7E"/>
  </w:style>
  <w:style w:type="paragraph" w:styleId="Quote">
    <w:name w:val="Quote"/>
    <w:basedOn w:val="Heading1"/>
    <w:link w:val="QuoteChar"/>
    <w:qFormat/>
    <w:rsid w:val="00154F7E"/>
    <w:rPr>
      <w:b w:val="0"/>
      <w:sz w:val="72"/>
      <w:szCs w:val="72"/>
      <w:lang w:val="en-NZ"/>
    </w:rPr>
  </w:style>
  <w:style w:type="character" w:customStyle="1" w:styleId="QuoteChar">
    <w:name w:val="Quote Char"/>
    <w:basedOn w:val="DefaultParagraphFont"/>
    <w:link w:val="Quote"/>
    <w:rsid w:val="00154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F7E"/>
    <w:pPr>
      <w:pageBreakBefore/>
    </w:pPr>
  </w:style>
  <w:style w:type="paragraph" w:customStyle="1" w:styleId="Border">
    <w:name w:val="Border"/>
    <w:basedOn w:val="Normal"/>
    <w:qFormat/>
    <w:rsid w:val="00154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F7E"/>
    <w:rPr>
      <w:b/>
      <w:bCs/>
      <w:i/>
      <w:iCs/>
      <w:color w:val="auto"/>
    </w:rPr>
  </w:style>
  <w:style w:type="paragraph" w:styleId="IntenseQuote">
    <w:name w:val="Intense Quote"/>
    <w:basedOn w:val="Normal"/>
    <w:next w:val="Normal"/>
    <w:link w:val="IntenseQuoteChar"/>
    <w:uiPriority w:val="30"/>
    <w:qFormat/>
    <w:rsid w:val="00154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F7E"/>
    <w:rPr>
      <w:smallCaps/>
      <w:color w:val="auto"/>
      <w:u w:val="single"/>
    </w:rPr>
  </w:style>
  <w:style w:type="character" w:styleId="IntenseReference">
    <w:name w:val="Intense Reference"/>
    <w:basedOn w:val="DefaultParagraphFont"/>
    <w:uiPriority w:val="32"/>
    <w:qFormat/>
    <w:rsid w:val="00154F7E"/>
    <w:rPr>
      <w:b/>
      <w:bCs/>
      <w:smallCaps/>
      <w:color w:val="auto"/>
      <w:spacing w:val="5"/>
      <w:u w:val="single"/>
    </w:rPr>
  </w:style>
  <w:style w:type="paragraph" w:customStyle="1" w:styleId="2ColumnHeading">
    <w:name w:val="2Column Heading"/>
    <w:basedOn w:val="BodyText"/>
    <w:qFormat/>
    <w:rsid w:val="00154F7E"/>
    <w:pPr>
      <w:spacing w:after="60"/>
      <w:ind w:left="-2268"/>
    </w:pPr>
    <w:rPr>
      <w:b/>
    </w:rPr>
  </w:style>
  <w:style w:type="paragraph" w:customStyle="1" w:styleId="Heading1TOC">
    <w:name w:val="Heading1 TOC"/>
    <w:basedOn w:val="Normal"/>
    <w:qFormat/>
    <w:rsid w:val="00154F7E"/>
    <w:pPr>
      <w:spacing w:before="240" w:after="120"/>
    </w:pPr>
    <w:rPr>
      <w:rFonts w:ascii="Times New Roman" w:hAnsi="Times New Roman"/>
      <w:b/>
      <w:sz w:val="32"/>
    </w:rPr>
  </w:style>
  <w:style w:type="paragraph" w:customStyle="1" w:styleId="Heading2TOC">
    <w:name w:val="Heading2 TOC"/>
    <w:basedOn w:val="Normal"/>
    <w:qFormat/>
    <w:rsid w:val="00154F7E"/>
    <w:pPr>
      <w:spacing w:before="240" w:after="60"/>
    </w:pPr>
    <w:rPr>
      <w:rFonts w:ascii="Times New Roman" w:hAnsi="Times New Roman"/>
      <w:b/>
      <w:sz w:val="28"/>
    </w:rPr>
  </w:style>
  <w:style w:type="character" w:customStyle="1" w:styleId="Underline">
    <w:name w:val="Underline"/>
    <w:basedOn w:val="DefaultParagraphFont"/>
    <w:qFormat/>
    <w:rsid w:val="00154F7E"/>
    <w:rPr>
      <w:u w:val="single"/>
    </w:rPr>
  </w:style>
  <w:style w:type="character" w:customStyle="1" w:styleId="BoldandItalics">
    <w:name w:val="Bold and Italics"/>
    <w:qFormat/>
    <w:rsid w:val="00154F7E"/>
    <w:rPr>
      <w:b/>
      <w:i/>
      <w:u w:val="none"/>
    </w:rPr>
  </w:style>
  <w:style w:type="paragraph" w:styleId="BalloonText">
    <w:name w:val="Balloon Text"/>
    <w:basedOn w:val="Normal"/>
    <w:link w:val="BalloonTextChar"/>
    <w:rsid w:val="00154F7E"/>
    <w:rPr>
      <w:rFonts w:ascii="Tahoma" w:hAnsi="Tahoma" w:cs="Tahoma"/>
      <w:sz w:val="16"/>
      <w:szCs w:val="16"/>
    </w:rPr>
  </w:style>
  <w:style w:type="character" w:customStyle="1" w:styleId="BalloonTextChar">
    <w:name w:val="Balloon Text Char"/>
    <w:basedOn w:val="DefaultParagraphFont"/>
    <w:link w:val="BalloonText"/>
    <w:rsid w:val="00154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F7E"/>
    <w:rPr>
      <w:b/>
      <w:color w:val="660033"/>
      <w:spacing w:val="0"/>
    </w:rPr>
  </w:style>
  <w:style w:type="paragraph" w:customStyle="1" w:styleId="Nameditemlist">
    <w:name w:val="Named item list"/>
    <w:basedOn w:val="BodyText"/>
    <w:qFormat/>
    <w:rsid w:val="00154F7E"/>
    <w:pPr>
      <w:tabs>
        <w:tab w:val="left" w:pos="2835"/>
      </w:tabs>
      <w:ind w:left="2835" w:hanging="2835"/>
    </w:pPr>
  </w:style>
  <w:style w:type="paragraph" w:customStyle="1" w:styleId="BodyTextnopadding">
    <w:name w:val="Body Text no padding"/>
    <w:basedOn w:val="BodyText"/>
    <w:qFormat/>
    <w:rsid w:val="00154F7E"/>
    <w:pPr>
      <w:spacing w:before="0" w:after="0"/>
    </w:pPr>
  </w:style>
  <w:style w:type="paragraph" w:customStyle="1" w:styleId="BodyTextBold">
    <w:name w:val="Body Text Bold"/>
    <w:basedOn w:val="BodyText"/>
    <w:qFormat/>
    <w:rsid w:val="00154F7E"/>
    <w:rPr>
      <w:b/>
    </w:rPr>
  </w:style>
  <w:style w:type="character" w:styleId="Hyperlink">
    <w:name w:val="Hyperlink"/>
    <w:basedOn w:val="DefaultParagraphFont"/>
    <w:uiPriority w:val="99"/>
    <w:unhideWhenUsed/>
    <w:rsid w:val="002B35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10349</Characters>
  <Application>Microsoft Office Word</Application>
  <DocSecurity>0</DocSecurity>
  <Lines>398</Lines>
  <Paragraphs>238</Paragraphs>
  <ScaleCrop>false</ScaleCrop>
  <Company>Author-it Software Corporation Ltd.</Company>
  <LinksUpToDate>false</LinksUpToDate>
  <CharactersWithSpaces>11683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PMC557098 Specify refractory installation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2025-03-01T15:50:00Z</dcterms:created>
  <dcterms:modified xsi:type="dcterms:W3CDTF">2025-03-01T15:50:00Z</dcterms:modified>
</cp:coreProperties>
</file>