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DC1" w:rsidP="00FA5DC1">
      <w:pPr>
        <w:pStyle w:val="Title"/>
      </w:pPr>
      <w:r>
        <w:fldChar w:fldCharType="begin"/>
      </w:r>
      <w:r>
        <w:instrText xml:space="preserve"> TITLE   \* MERGEFORMAT </w:instrText>
      </w:r>
      <w:r>
        <w:fldChar w:fldCharType="separate"/>
      </w:r>
      <w:r>
        <w:t>Assessment Requirements for PMC557098 Specify refractory installation systems</w:t>
      </w:r>
      <w:r>
        <w:fldChar w:fldCharType="end"/>
      </w:r>
    </w:p>
    <w:p w:rsidR="00FA5DC1" w:rsidP="00FA5DC1">
      <w:pPr>
        <w:pStyle w:val="Version"/>
        <w:sectPr w:rsidSect="00702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0CC" w:rsidP="007020CC">
      <w:pPr>
        <w:pStyle w:val="SuperHeading"/>
      </w:pPr>
      <w:r w:rsidRPr="007020CC">
        <w:t>Assessment Requirements for PMC557098 Specify refractory installation systems</w:t>
      </w:r>
    </w:p>
    <w:p w:rsidR="00000000" w:rsidRPr="007020CC" w:rsidP="007020CC">
      <w:pPr>
        <w:pStyle w:val="Heading1"/>
      </w:pPr>
      <w:bookmarkStart w:id="1" w:name="O_929512"/>
      <w:bookmarkEnd w:id="1"/>
      <w:r w:rsidRPr="007020CC">
        <w:t>Modification History</w:t>
      </w:r>
    </w:p>
    <w:p w:rsidR="00000000" w:rsidRPr="007020CC" w:rsidP="007020CC">
      <w:pPr>
        <w:pStyle w:val="BodyText"/>
      </w:pPr>
      <w:r w:rsidRPr="007020CC">
        <w:t>Release 1. Supersedes and is equivalent to PMC557098A Specify refractory installation systems</w:t>
      </w:r>
    </w:p>
    <w:p w:rsidR="00000000" w:rsidRPr="007020CC" w:rsidP="007020CC">
      <w:pPr>
        <w:pStyle w:val="AllowPageBreak"/>
      </w:pPr>
    </w:p>
    <w:p w:rsidR="00000000" w:rsidRPr="007020CC" w:rsidP="007020CC">
      <w:pPr>
        <w:pStyle w:val="Heading1"/>
      </w:pPr>
      <w:bookmarkStart w:id="2" w:name="O_929515"/>
      <w:bookmarkEnd w:id="2"/>
      <w:r w:rsidRPr="007020CC">
        <w:t>Performance Evidence</w:t>
      </w:r>
    </w:p>
    <w:p w:rsidR="00000000" w:rsidRPr="007020CC" w:rsidP="007020CC">
      <w:pPr>
        <w:pStyle w:val="BodyText"/>
      </w:pPr>
      <w:r w:rsidRPr="007020CC">
        <w:t>Evidence required to demonstrate competence in this unit must be relevant to and satisfy the requirements of the elements and performance criteria and demonstrate the ability to:</w:t>
      </w:r>
    </w:p>
    <w:p w:rsidR="00000000" w:rsidRPr="007020CC" w:rsidP="007020CC">
      <w:pPr>
        <w:pStyle w:val="ListBullet"/>
      </w:pPr>
      <w:r w:rsidRPr="007020CC">
        <w:t xml:space="preserve">analyse and interpret technical reports, technical specifications, data and </w:t>
      </w:r>
      <w:r w:rsidRPr="007020CC">
        <w:t>repair specifications</w:t>
      </w:r>
    </w:p>
    <w:p w:rsidR="00000000" w:rsidRPr="007020CC" w:rsidP="007020CC">
      <w:pPr>
        <w:pStyle w:val="ListBullet"/>
      </w:pPr>
      <w:r w:rsidRPr="007020CC">
        <w:t>determine detailed specifications covering all systems needed to implement the installation to meet specifications</w:t>
      </w:r>
    </w:p>
    <w:p w:rsidR="00000000" w:rsidRPr="007020CC" w:rsidP="007020CC">
      <w:pPr>
        <w:pStyle w:val="ListBullet"/>
      </w:pPr>
      <w:r w:rsidRPr="007020CC">
        <w:t>monitor conformance of the installation systems to specifications and take action on non-conformances</w:t>
      </w:r>
    </w:p>
    <w:p w:rsidR="00000000" w:rsidRPr="007020CC" w:rsidP="007020CC">
      <w:pPr>
        <w:pStyle w:val="ListBullet"/>
      </w:pPr>
      <w:r w:rsidRPr="007020CC">
        <w:t xml:space="preserve">complete project </w:t>
      </w:r>
      <w:r w:rsidRPr="007020CC">
        <w:t>documentation and reports</w:t>
      </w:r>
    </w:p>
    <w:p w:rsidR="00000000" w:rsidRPr="007020CC" w:rsidP="007020CC">
      <w:pPr>
        <w:pStyle w:val="ListBullet"/>
      </w:pPr>
      <w:r w:rsidRPr="007020CC">
        <w:t xml:space="preserve">communicate technical information verbally and in writing/drawings </w:t>
      </w:r>
    </w:p>
    <w:p w:rsidR="00000000" w:rsidRPr="007020CC" w:rsidP="007020CC">
      <w:pPr>
        <w:pStyle w:val="ListBullet"/>
      </w:pPr>
      <w:r w:rsidRPr="007020CC">
        <w:t>communicate with internal and external stakeholders, including one or more of:</w:t>
      </w:r>
    </w:p>
    <w:p w:rsidR="00000000" w:rsidRPr="007020CC" w:rsidP="007020CC">
      <w:pPr>
        <w:pStyle w:val="ListBullet2"/>
      </w:pPr>
      <w:r w:rsidRPr="007020CC">
        <w:t>customer representatives</w:t>
      </w:r>
    </w:p>
    <w:p w:rsidR="00000000" w:rsidRPr="007020CC" w:rsidP="007020CC">
      <w:pPr>
        <w:pStyle w:val="ListBullet2"/>
      </w:pPr>
      <w:r w:rsidRPr="007020CC">
        <w:t>technical experts</w:t>
      </w:r>
    </w:p>
    <w:p w:rsidR="00000000" w:rsidRPr="007020CC" w:rsidP="007020CC">
      <w:pPr>
        <w:pStyle w:val="ListBullet2"/>
      </w:pPr>
      <w:r w:rsidRPr="007020CC">
        <w:t>regulators</w:t>
      </w:r>
    </w:p>
    <w:p w:rsidR="00000000" w:rsidRPr="007020CC" w:rsidP="007020CC">
      <w:pPr>
        <w:pStyle w:val="ListBullet2"/>
      </w:pPr>
      <w:r w:rsidRPr="007020CC">
        <w:t>management</w:t>
      </w:r>
    </w:p>
    <w:p w:rsidR="00000000" w:rsidRPr="007020CC" w:rsidP="007020CC">
      <w:pPr>
        <w:pStyle w:val="ListBullet2"/>
      </w:pPr>
      <w:r w:rsidRPr="007020CC">
        <w:t xml:space="preserve">refractory designer </w:t>
      </w:r>
    </w:p>
    <w:p w:rsidR="00000000" w:rsidRPr="007020CC" w:rsidP="007020CC">
      <w:pPr>
        <w:pStyle w:val="ListBullet2"/>
      </w:pPr>
      <w:r w:rsidRPr="007020CC">
        <w:t>refractory installer</w:t>
      </w:r>
    </w:p>
    <w:p w:rsidR="00000000" w:rsidRPr="007020CC" w:rsidP="007020CC">
      <w:pPr>
        <w:pStyle w:val="ListBullet2"/>
      </w:pPr>
      <w:r w:rsidRPr="007020CC">
        <w:t>materials and equipment suppliers</w:t>
      </w:r>
    </w:p>
    <w:p w:rsidR="00000000" w:rsidRPr="007020CC" w:rsidP="007020CC">
      <w:pPr>
        <w:pStyle w:val="ListBullet2"/>
      </w:pPr>
      <w:r w:rsidRPr="007020CC">
        <w:t>contractors</w:t>
      </w:r>
    </w:p>
    <w:p w:rsidR="00000000" w:rsidRPr="007020CC" w:rsidP="007020CC">
      <w:pPr>
        <w:pStyle w:val="ListBullet"/>
      </w:pPr>
      <w:r w:rsidRPr="007020CC">
        <w:t>apply complex and/or theoretical mathematical calculations, statistics</w:t>
      </w:r>
    </w:p>
    <w:p w:rsidR="00000000" w:rsidRPr="007020CC" w:rsidP="007020CC">
      <w:pPr>
        <w:pStyle w:val="ListBullet"/>
      </w:pPr>
      <w:r w:rsidRPr="007020CC">
        <w:t xml:space="preserve">solve complex problems within or arising from the repair design and/or installation.  </w:t>
      </w:r>
    </w:p>
    <w:p w:rsidR="00000000" w:rsidRPr="007020CC" w:rsidP="007020CC">
      <w:pPr>
        <w:pStyle w:val="AllowPageBreak"/>
      </w:pPr>
    </w:p>
    <w:p w:rsidR="00000000" w:rsidRPr="007020CC" w:rsidP="007020CC">
      <w:pPr>
        <w:pStyle w:val="Heading1"/>
      </w:pPr>
      <w:bookmarkStart w:id="3" w:name="O_929514"/>
      <w:bookmarkEnd w:id="3"/>
      <w:r w:rsidRPr="007020CC">
        <w:t>Knowledge Evidence</w:t>
      </w:r>
    </w:p>
    <w:p w:rsidR="00000000" w:rsidRPr="007020CC" w:rsidP="007020CC">
      <w:pPr>
        <w:pStyle w:val="BodyText"/>
      </w:pPr>
      <w:r w:rsidRPr="007020CC">
        <w:t>Must provide evidence that demonstrates knowledge relevant to their job sufficient to fulfil their job role, including knowledge of:</w:t>
      </w:r>
    </w:p>
    <w:p w:rsidR="00000000" w:rsidRPr="007020CC" w:rsidP="007020CC">
      <w:pPr>
        <w:pStyle w:val="ListBullet"/>
      </w:pPr>
      <w:r w:rsidRPr="007020CC">
        <w:t>properties of all common refractory materials</w:t>
      </w:r>
    </w:p>
    <w:p w:rsidR="00000000" w:rsidRPr="007020CC" w:rsidP="007020CC">
      <w:pPr>
        <w:pStyle w:val="ListBullet"/>
      </w:pPr>
      <w:r w:rsidRPr="007020CC">
        <w:t xml:space="preserve">common installation methods </w:t>
      </w:r>
    </w:p>
    <w:p w:rsidR="00000000" w:rsidRPr="007020CC" w:rsidP="007020CC">
      <w:pPr>
        <w:pStyle w:val="ListBullet"/>
      </w:pPr>
      <w:r w:rsidRPr="007020CC">
        <w:t>point vs. distributed loads</w:t>
      </w:r>
    </w:p>
    <w:p w:rsidR="00000000" w:rsidRPr="007020CC" w:rsidP="007020CC">
      <w:pPr>
        <w:pStyle w:val="ListBullet"/>
      </w:pPr>
      <w:r w:rsidRPr="007020CC">
        <w:t>mechanics of levers, pulleys and jacks</w:t>
      </w:r>
    </w:p>
    <w:p w:rsidR="00000000" w:rsidRPr="007020CC" w:rsidP="007020CC">
      <w:pPr>
        <w:pStyle w:val="ListBullet"/>
      </w:pPr>
      <w:r w:rsidRPr="007020CC">
        <w:t xml:space="preserve">structures, moments and beam reactions </w:t>
      </w:r>
    </w:p>
    <w:p w:rsidR="00000000" w:rsidRPr="007020CC" w:rsidP="007020CC">
      <w:pPr>
        <w:pStyle w:val="ListBullet"/>
      </w:pPr>
      <w:r w:rsidRPr="007020CC">
        <w:t>tension, compression, shear and torsion</w:t>
      </w:r>
    </w:p>
    <w:p w:rsidR="00000000" w:rsidRPr="007020CC" w:rsidP="007020CC">
      <w:pPr>
        <w:pStyle w:val="ListBullet"/>
      </w:pPr>
      <w:r w:rsidRPr="007020CC">
        <w:t>application and limitations of lifting/hoisting/supporting systems, including:</w:t>
      </w:r>
    </w:p>
    <w:p w:rsidR="00000000" w:rsidRPr="007020CC" w:rsidP="007020CC">
      <w:pPr>
        <w:pStyle w:val="ListBullet2"/>
      </w:pPr>
      <w:r w:rsidRPr="007020CC">
        <w:t>gin wheel</w:t>
      </w:r>
    </w:p>
    <w:p w:rsidR="00000000" w:rsidRPr="007020CC" w:rsidP="007020CC">
      <w:pPr>
        <w:pStyle w:val="ListBullet2"/>
      </w:pPr>
      <w:r w:rsidRPr="007020CC">
        <w:t>scaffold crane</w:t>
      </w:r>
    </w:p>
    <w:p w:rsidR="00000000" w:rsidRPr="007020CC" w:rsidP="007020CC">
      <w:pPr>
        <w:pStyle w:val="ListBullet2"/>
      </w:pPr>
      <w:r w:rsidRPr="007020CC">
        <w:t>elev</w:t>
      </w:r>
      <w:r w:rsidRPr="007020CC">
        <w:t>ator</w:t>
      </w:r>
    </w:p>
    <w:p w:rsidR="00000000" w:rsidRPr="007020CC" w:rsidP="007020CC">
      <w:pPr>
        <w:pStyle w:val="ListBullet2"/>
      </w:pPr>
      <w:r w:rsidRPr="007020CC">
        <w:t>scissor lift</w:t>
      </w:r>
    </w:p>
    <w:p w:rsidR="00000000" w:rsidRPr="007020CC" w:rsidP="007020CC">
      <w:pPr>
        <w:pStyle w:val="ListBullet2"/>
      </w:pPr>
      <w:r w:rsidRPr="007020CC">
        <w:t xml:space="preserve">fixed hoist </w:t>
      </w:r>
    </w:p>
    <w:p w:rsidR="00000000" w:rsidRPr="007020CC" w:rsidP="007020CC">
      <w:pPr>
        <w:pStyle w:val="ListBullet"/>
      </w:pPr>
      <w:r w:rsidRPr="007020CC">
        <w:t>scaffolding design and construction</w:t>
      </w:r>
    </w:p>
    <w:p w:rsidR="00000000" w:rsidRPr="007020CC" w:rsidP="007020CC">
      <w:pPr>
        <w:pStyle w:val="ListBullet"/>
      </w:pPr>
      <w:r w:rsidRPr="007020CC">
        <w:t>application and limitations of types of scaffolding, including:</w:t>
      </w:r>
    </w:p>
    <w:p w:rsidR="00000000" w:rsidRPr="007020CC" w:rsidP="007020CC">
      <w:pPr>
        <w:pStyle w:val="ListBullet2"/>
      </w:pPr>
      <w:r w:rsidRPr="007020CC">
        <w:t>trestle scaffold</w:t>
      </w:r>
    </w:p>
    <w:p w:rsidR="00000000" w:rsidRPr="007020CC" w:rsidP="007020CC">
      <w:pPr>
        <w:pStyle w:val="ListBullet2"/>
      </w:pPr>
      <w:r w:rsidRPr="007020CC">
        <w:t>tower scaffold</w:t>
      </w:r>
    </w:p>
    <w:p w:rsidR="00000000" w:rsidRPr="007020CC" w:rsidP="007020CC">
      <w:pPr>
        <w:pStyle w:val="ListBullet2"/>
      </w:pPr>
      <w:r w:rsidRPr="007020CC">
        <w:t>putlog scaffold</w:t>
      </w:r>
    </w:p>
    <w:p w:rsidR="00000000" w:rsidRPr="007020CC" w:rsidP="007020CC">
      <w:pPr>
        <w:pStyle w:val="ListBullet2"/>
      </w:pPr>
      <w:r w:rsidRPr="007020CC">
        <w:t>independent scaffold</w:t>
      </w:r>
    </w:p>
    <w:p w:rsidR="00000000" w:rsidRPr="007020CC" w:rsidP="007020CC">
      <w:pPr>
        <w:pStyle w:val="ListBullet2"/>
      </w:pPr>
      <w:r w:rsidRPr="007020CC">
        <w:t>working platforms</w:t>
      </w:r>
    </w:p>
    <w:p w:rsidR="00000000" w:rsidRPr="007020CC" w:rsidP="007020CC">
      <w:pPr>
        <w:pStyle w:val="ListBullet"/>
      </w:pPr>
      <w:r w:rsidRPr="007020CC">
        <w:t>types of restrictions caused by refractory/job, including:</w:t>
      </w:r>
    </w:p>
    <w:p w:rsidR="00000000" w:rsidRPr="007020CC" w:rsidP="007020CC">
      <w:pPr>
        <w:pStyle w:val="ListBullet2"/>
      </w:pPr>
      <w:r w:rsidRPr="007020CC">
        <w:t>fragility preventing use as a footing</w:t>
      </w:r>
    </w:p>
    <w:p w:rsidR="00000000" w:rsidRPr="007020CC" w:rsidP="007020CC">
      <w:pPr>
        <w:pStyle w:val="ListBullet2"/>
      </w:pPr>
      <w:r w:rsidRPr="007020CC">
        <w:t>need to refractory clad area being used for support</w:t>
      </w:r>
    </w:p>
    <w:p w:rsidR="00000000" w:rsidRPr="007020CC" w:rsidP="007020CC">
      <w:pPr>
        <w:pStyle w:val="ListBullet2"/>
      </w:pPr>
      <w:r w:rsidRPr="007020CC">
        <w:t>lack of tie points</w:t>
      </w:r>
    </w:p>
    <w:p w:rsidR="00000000" w:rsidRPr="007020CC" w:rsidP="007020CC">
      <w:pPr>
        <w:pStyle w:val="ListBullet2"/>
      </w:pPr>
      <w:r w:rsidRPr="007020CC">
        <w:t xml:space="preserve">low coefficient of friction making it unsuitable for support </w:t>
      </w:r>
    </w:p>
    <w:p w:rsidR="00000000" w:rsidRPr="007020CC" w:rsidP="007020CC">
      <w:pPr>
        <w:pStyle w:val="ListBullet"/>
      </w:pPr>
      <w:r w:rsidRPr="007020CC">
        <w:t>calculations relevant to</w:t>
      </w:r>
      <w:r w:rsidRPr="007020CC">
        <w:t xml:space="preserve"> specifications </w:t>
      </w:r>
    </w:p>
    <w:p w:rsidR="00000000" w:rsidRPr="007020CC" w:rsidP="007020CC">
      <w:pPr>
        <w:pStyle w:val="ListBullet"/>
      </w:pPr>
      <w:r w:rsidRPr="007020CC">
        <w:t xml:space="preserve">project planning and management </w:t>
      </w:r>
    </w:p>
    <w:p w:rsidR="00000000" w:rsidRPr="007020CC" w:rsidP="007020CC">
      <w:pPr>
        <w:pStyle w:val="ListBullet"/>
      </w:pPr>
      <w:r w:rsidRPr="007020CC">
        <w:t>regulatory framework</w:t>
      </w:r>
    </w:p>
    <w:p w:rsidR="00000000" w:rsidRPr="007020CC" w:rsidP="007020CC">
      <w:pPr>
        <w:pStyle w:val="ListBullet"/>
      </w:pPr>
      <w:r w:rsidRPr="007020CC">
        <w:t>hierarchy of control</w:t>
      </w:r>
    </w:p>
    <w:p w:rsidR="00000000" w:rsidRPr="007020CC" w:rsidP="007020CC">
      <w:pPr>
        <w:pStyle w:val="ListBullet"/>
      </w:pPr>
      <w:r w:rsidRPr="007020CC">
        <w:t>hazards that may arise in the job/work environment and:</w:t>
      </w:r>
    </w:p>
    <w:p w:rsidR="00000000" w:rsidRPr="007020CC" w:rsidP="007020CC">
      <w:pPr>
        <w:pStyle w:val="ListBullet2"/>
      </w:pPr>
      <w:r w:rsidRPr="007020CC">
        <w:t xml:space="preserve">their possible causes </w:t>
      </w:r>
    </w:p>
    <w:p w:rsidR="00000000" w:rsidRPr="007020CC" w:rsidP="007020CC">
      <w:pPr>
        <w:pStyle w:val="ListBullet2"/>
      </w:pPr>
      <w:r w:rsidRPr="007020CC">
        <w:t>potential consequences</w:t>
      </w:r>
    </w:p>
    <w:p w:rsidR="00000000" w:rsidRPr="007020CC" w:rsidP="007020CC">
      <w:pPr>
        <w:pStyle w:val="ListBullet2"/>
      </w:pPr>
      <w:r w:rsidRPr="007020CC">
        <w:t>appropriate risk controls.</w:t>
      </w:r>
    </w:p>
    <w:p w:rsidR="00000000" w:rsidRPr="007020CC" w:rsidP="007020CC">
      <w:pPr>
        <w:pStyle w:val="AllowPageBreak"/>
      </w:pPr>
    </w:p>
    <w:p w:rsidR="00000000" w:rsidRPr="007020CC" w:rsidP="007020CC">
      <w:pPr>
        <w:pStyle w:val="Heading1"/>
      </w:pPr>
      <w:bookmarkStart w:id="4" w:name="O_929513"/>
      <w:bookmarkEnd w:id="4"/>
      <w:r w:rsidRPr="007020CC">
        <w:t>Assessment Conditions</w:t>
      </w:r>
    </w:p>
    <w:p w:rsidR="00000000" w:rsidRPr="007020CC" w:rsidP="007020CC">
      <w:pPr>
        <w:pStyle w:val="ListBullet"/>
      </w:pPr>
      <w:r w:rsidRPr="007020CC">
        <w:t>The unit should be assessed holistically and the judgement of competence shall be based on a holistic assessment of the evidence.</w:t>
      </w:r>
    </w:p>
    <w:p w:rsidR="00000000" w:rsidRPr="007020CC" w:rsidP="007020CC">
      <w:pPr>
        <w:pStyle w:val="ListBullet"/>
      </w:pPr>
      <w:r w:rsidRPr="007020CC">
        <w:t>The collection of performance evidence is best done from a report and/or folio of evidence drawn from:</w:t>
      </w:r>
    </w:p>
    <w:p w:rsidR="00000000" w:rsidRPr="007020CC" w:rsidP="007020CC">
      <w:pPr>
        <w:pStyle w:val="ListBullet2"/>
      </w:pPr>
      <w:r w:rsidRPr="007020CC">
        <w:t>a single project which provides sufficient evidence of the requirements of all the elements and performance criteria</w:t>
      </w:r>
    </w:p>
    <w:p w:rsidR="00000000" w:rsidRPr="007020CC" w:rsidP="007020CC">
      <w:pPr>
        <w:pStyle w:val="ListBullet2"/>
      </w:pPr>
      <w:r w:rsidRPr="007020CC">
        <w:t>multiple smaller projects which together provide sufficient evidence of the requirements of all the elements and performance criteria.</w:t>
      </w:r>
    </w:p>
    <w:p w:rsidR="00000000" w:rsidRPr="007020CC" w:rsidP="007020CC">
      <w:pPr>
        <w:pStyle w:val="ListBullet"/>
      </w:pPr>
      <w:r w:rsidRPr="007020CC">
        <w:t xml:space="preserve">A </w:t>
      </w:r>
      <w:r w:rsidRPr="007020CC">
        <w:t>third-party report, or similar, may be needed to testify to the work done by the individual, particularly when the project has been done as part of a project team.</w:t>
      </w:r>
    </w:p>
    <w:p w:rsidR="00000000" w:rsidRPr="007020CC" w:rsidP="007020CC">
      <w:pPr>
        <w:pStyle w:val="ListBullet"/>
      </w:pPr>
      <w:r w:rsidRPr="007020CC">
        <w:t>Assessment should use a real project in an operational workplace. Where this is not possible</w:t>
      </w:r>
      <w:r w:rsidRPr="007020CC">
        <w:t xml:space="preserve"> or where personal safety or environmental damage are limiting factors assessment must occur using a sufficiently rigorous simulated environment that reflects realistic operational workplace conditions. This must cover all aspects of workplace performance,</w:t>
      </w:r>
      <w:r w:rsidRPr="007020CC">
        <w:t xml:space="preserve"> including environment, task skills, task management skills, contingency management skills and job role environment skills.</w:t>
      </w:r>
    </w:p>
    <w:p w:rsidR="00000000" w:rsidRPr="007020CC" w:rsidP="007020CC">
      <w:pPr>
        <w:pStyle w:val="ListBullet"/>
      </w:pPr>
      <w:r w:rsidRPr="007020CC">
        <w:t xml:space="preserve">Assessment in a simulated environment should use evidence collected from demonstration of skills and one or more of: </w:t>
      </w:r>
    </w:p>
    <w:p w:rsidR="00000000" w:rsidRPr="007020CC" w:rsidP="007020CC">
      <w:pPr>
        <w:pStyle w:val="ListBullet2"/>
      </w:pPr>
      <w:r w:rsidRPr="007020CC">
        <w:t>walk-throughs</w:t>
      </w:r>
    </w:p>
    <w:p w:rsidR="00000000" w:rsidRPr="007020CC" w:rsidP="007020CC">
      <w:pPr>
        <w:pStyle w:val="ListBullet2"/>
      </w:pPr>
      <w:r w:rsidRPr="007020CC">
        <w:t>pilot plant operation</w:t>
      </w:r>
    </w:p>
    <w:p w:rsidR="00000000" w:rsidRPr="007020CC" w:rsidP="007020CC">
      <w:pPr>
        <w:pStyle w:val="ListBullet2"/>
      </w:pPr>
      <w:r w:rsidRPr="007020CC">
        <w:t xml:space="preserve">industry-based case studies/scenarios </w:t>
      </w:r>
    </w:p>
    <w:p w:rsidR="00000000" w:rsidRPr="007020CC" w:rsidP="007020CC">
      <w:pPr>
        <w:pStyle w:val="ListBullet2"/>
      </w:pPr>
      <w:r w:rsidRPr="007020CC">
        <w:t>‘what ifs’.</w:t>
      </w:r>
    </w:p>
    <w:p w:rsidR="00000000" w:rsidRPr="007020CC" w:rsidP="007020CC">
      <w:pPr>
        <w:pStyle w:val="ListBullet"/>
      </w:pPr>
      <w:r w:rsidRPr="007020CC">
        <w:t>Knowledge evidence may be collected concurrently with performance evidence or through an independent process, such as workbooks, written assessments or interviews.</w:t>
      </w:r>
    </w:p>
    <w:p w:rsidR="00000000" w:rsidRPr="007020CC" w:rsidP="007020CC">
      <w:pPr>
        <w:pStyle w:val="ListBullet"/>
      </w:pPr>
      <w:r w:rsidRPr="007020CC">
        <w:t>Assessment processes and techniques must be appropriate to the language, literacy and numeracy requirements of the work being performed and the needs of the candidate.</w:t>
      </w:r>
    </w:p>
    <w:p w:rsidR="00000000" w:rsidRPr="007020CC" w:rsidP="007020CC">
      <w:pPr>
        <w:pStyle w:val="ListBullet"/>
      </w:pPr>
      <w:r w:rsidRPr="007020CC">
        <w:t>Conditions for assessment must include access to all tools, equipment, materials and doc</w:t>
      </w:r>
      <w:r w:rsidRPr="007020CC">
        <w:t>umentation required, including relevant workplace procedures, product and manufacturing specifications associated with this unit.</w:t>
      </w:r>
    </w:p>
    <w:p w:rsidR="00000000" w:rsidRPr="007020CC" w:rsidP="007020CC">
      <w:pPr>
        <w:pStyle w:val="ListBullet"/>
      </w:pPr>
      <w:r w:rsidRPr="007020CC">
        <w:t>The regulatory framework will be reflected in workplace policies and procedures and is not required to be independently assess</w:t>
      </w:r>
      <w:r w:rsidRPr="007020CC">
        <w:t>ed.</w:t>
      </w:r>
    </w:p>
    <w:p w:rsidR="00000000" w:rsidRPr="007020CC" w:rsidP="007020CC">
      <w:pPr>
        <w:pStyle w:val="ListBullet"/>
      </w:pPr>
      <w:r w:rsidRPr="007020CC">
        <w:t>Foundation skills are integral to competent performance of the unit and should not be assessed separately.</w:t>
      </w:r>
    </w:p>
    <w:p w:rsidR="00000000" w:rsidRPr="007020CC" w:rsidP="007020CC">
      <w:pPr>
        <w:pStyle w:val="ListBullet"/>
      </w:pPr>
      <w:r w:rsidRPr="007020CC">
        <w:t>Assessors must satisfy the assessor competency requirements that are in place at the time of the assessment as set by the VET regulator.</w:t>
      </w:r>
    </w:p>
    <w:p w:rsidR="00000000" w:rsidRPr="007020CC" w:rsidP="007020CC">
      <w:pPr>
        <w:pStyle w:val="ListBullet"/>
      </w:pPr>
      <w:r w:rsidRPr="007020CC">
        <w:t>In addit</w:t>
      </w:r>
      <w:r w:rsidRPr="007020CC">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7020CC">
        <w:t xml:space="preserve">does meet these requirements. </w:t>
      </w:r>
    </w:p>
    <w:p w:rsidR="00000000" w:rsidRPr="007020CC" w:rsidP="007020CC">
      <w:pPr>
        <w:pStyle w:val="ListBullet"/>
      </w:pPr>
      <w:r w:rsidRPr="007020CC">
        <w:t>Technical competence can be demonstrated through one or more of:</w:t>
      </w:r>
    </w:p>
    <w:p w:rsidR="00000000" w:rsidRPr="007020CC" w:rsidP="007020CC">
      <w:pPr>
        <w:pStyle w:val="ListBullet2"/>
      </w:pPr>
      <w:r w:rsidRPr="007020CC">
        <w:t xml:space="preserve">relevant VET or other qualification/Statement of Attainment </w:t>
      </w:r>
    </w:p>
    <w:p w:rsidR="00000000" w:rsidRPr="007020CC" w:rsidP="007020CC">
      <w:pPr>
        <w:pStyle w:val="ListBullet2"/>
      </w:pPr>
      <w:r w:rsidRPr="007020CC">
        <w:t>appropriate workplace experience undertaking the type of work being assessed under routine and non</w:t>
      </w:r>
      <w:r w:rsidRPr="007020CC">
        <w:t xml:space="preserve">-routine conditions </w:t>
      </w:r>
    </w:p>
    <w:p w:rsidR="00000000" w:rsidRPr="007020CC" w:rsidP="007020CC">
      <w:pPr>
        <w:pStyle w:val="ListBullet2"/>
      </w:pPr>
      <w:r w:rsidRPr="007020CC">
        <w:t>appropriate workplace experience supervising/evaluating the type of work being assessed under routine and non-routine conditions</w:t>
      </w:r>
    </w:p>
    <w:p w:rsidR="00000000" w:rsidRPr="007020CC" w:rsidP="007020CC">
      <w:pPr>
        <w:pStyle w:val="ListBullet"/>
      </w:pPr>
      <w:r w:rsidRPr="007020CC">
        <w:t>Currency can be demonstrated through one or more of:</w:t>
      </w:r>
    </w:p>
    <w:p w:rsidR="00000000" w:rsidRPr="007020CC" w:rsidP="007020CC">
      <w:pPr>
        <w:pStyle w:val="ListBullet2"/>
      </w:pPr>
      <w:r w:rsidRPr="007020CC">
        <w:t xml:space="preserve">being currently employed undertaking the type of work being assessed </w:t>
      </w:r>
    </w:p>
    <w:p w:rsidR="00000000" w:rsidRPr="007020CC" w:rsidP="007020CC">
      <w:pPr>
        <w:pStyle w:val="ListBullet2"/>
      </w:pPr>
      <w:r w:rsidRPr="007020CC">
        <w:t xml:space="preserve">being employed by the organisation undertaking the type of work being assessed and having maintained currency in accordance with that organisation’s policies and procedures </w:t>
      </w:r>
    </w:p>
    <w:p w:rsidR="00000000" w:rsidRPr="007020CC" w:rsidP="007020CC">
      <w:pPr>
        <w:pStyle w:val="ListBullet2"/>
      </w:pPr>
      <w:r w:rsidRPr="007020CC">
        <w:t>having consu</w:t>
      </w:r>
      <w:r w:rsidRPr="007020CC">
        <w:t xml:space="preserve">lted/had contact with an organisation undertaking the type of work being assessed within the last twelve months, the consultation/contact being related to assessment </w:t>
      </w:r>
    </w:p>
    <w:p w:rsidR="00000000" w:rsidRPr="007020CC" w:rsidP="007020CC">
      <w:pPr>
        <w:pStyle w:val="ListBullet2"/>
      </w:pPr>
      <w:r w:rsidRPr="007020CC">
        <w:t xml:space="preserve">conducting on the job training/assessments of the type of work being assessed </w:t>
      </w:r>
    </w:p>
    <w:p w:rsidR="00000000" w:rsidRPr="007020CC" w:rsidP="007020CC">
      <w:pPr>
        <w:pStyle w:val="ListBullet2"/>
      </w:pPr>
      <w:r w:rsidRPr="007020CC">
        <w:t>being an a</w:t>
      </w:r>
      <w:r w:rsidRPr="007020CC">
        <w:t>ctive member of a relevant professional body and participating in activities relevant to the assessment of this type of work.</w:t>
      </w:r>
    </w:p>
    <w:p w:rsidR="00000000" w:rsidRPr="007020CC" w:rsidP="007020CC">
      <w:pPr>
        <w:pStyle w:val="AllowPageBreak"/>
      </w:pPr>
    </w:p>
    <w:p w:rsidR="00000000" w:rsidRPr="007020CC" w:rsidP="007020CC">
      <w:pPr>
        <w:pStyle w:val="Heading1"/>
      </w:pPr>
      <w:bookmarkStart w:id="5" w:name="O_929511"/>
      <w:bookmarkEnd w:id="5"/>
      <w:r w:rsidRPr="007020CC">
        <w:t>Links</w:t>
      </w:r>
    </w:p>
    <w:p w:rsidR="00000000" w:rsidRPr="007020CC" w:rsidP="007020CC">
      <w:pPr>
        <w:pStyle w:val="BodyText"/>
      </w:pPr>
      <w:r w:rsidRPr="007020CC">
        <w:t>MSA Training Package Implementation Guides - http://mskills.org.au/training-packages/info/</w:t>
      </w:r>
    </w:p>
    <w:p w:rsidR="00000000" w:rsidRPr="007020CC" w:rsidP="007020CC"/>
    <w:sectPr w:rsidSect="00702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CC" w:rsidRPr="00FA5DC1" w:rsidP="00FA5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C1" w:rsidP="00702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5DC1" w:rsidP="007020C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5DC1" w:rsidP="00702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CC" w:rsidRPr="00FA5DC1" w:rsidP="00FA5D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C1" w:rsidRPr="002D2AF8" w:rsidP="007020CC">
    <w:pPr>
      <w:pStyle w:val="Header"/>
      <w:framePr w:wrap="around"/>
    </w:pPr>
    <w:r>
      <w:fldChar w:fldCharType="begin"/>
    </w:r>
    <w:r>
      <w:instrText xml:space="preserve"> TITLE   \* MERGEFORMAT </w:instrText>
    </w:r>
    <w:r>
      <w:fldChar w:fldCharType="separate"/>
    </w:r>
    <w:r>
      <w:t>Assessment Requirements for PMC557098 Specify refractory installation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A5DC1" w:rsidP="00702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28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22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81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0CC"/>
    <w:pPr>
      <w:spacing w:before="360" w:after="60"/>
      <w:outlineLvl w:val="0"/>
    </w:pPr>
    <w:rPr>
      <w:sz w:val="32"/>
    </w:rPr>
  </w:style>
  <w:style w:type="paragraph" w:styleId="Heading2">
    <w:name w:val="heading 2"/>
    <w:basedOn w:val="HeadingBase"/>
    <w:next w:val="BodyText"/>
    <w:link w:val="Heading2Char"/>
    <w:qFormat/>
    <w:rsid w:val="007020CC"/>
    <w:pPr>
      <w:keepLines/>
      <w:spacing w:before="240" w:after="120"/>
      <w:outlineLvl w:val="1"/>
    </w:pPr>
    <w:rPr>
      <w:sz w:val="28"/>
      <w:szCs w:val="40"/>
    </w:rPr>
  </w:style>
  <w:style w:type="paragraph" w:styleId="Heading3">
    <w:name w:val="heading 3"/>
    <w:basedOn w:val="HeadingBase"/>
    <w:next w:val="BodyText"/>
    <w:link w:val="Heading3Char"/>
    <w:qFormat/>
    <w:rsid w:val="007020CC"/>
    <w:pPr>
      <w:spacing w:before="180" w:after="120"/>
      <w:outlineLvl w:val="2"/>
    </w:pPr>
    <w:rPr>
      <w:spacing w:val="-10"/>
      <w:kern w:val="32"/>
    </w:rPr>
  </w:style>
  <w:style w:type="paragraph" w:styleId="Heading4">
    <w:name w:val="heading 4"/>
    <w:basedOn w:val="HeadingBase"/>
    <w:next w:val="BodyText"/>
    <w:link w:val="Heading4Char"/>
    <w:qFormat/>
    <w:rsid w:val="007020CC"/>
    <w:pPr>
      <w:spacing w:before="160" w:after="120"/>
      <w:outlineLvl w:val="3"/>
    </w:pPr>
    <w:rPr>
      <w:sz w:val="22"/>
    </w:rPr>
  </w:style>
  <w:style w:type="paragraph" w:styleId="Heading5">
    <w:name w:val="heading 5"/>
    <w:basedOn w:val="HeadingBase"/>
    <w:next w:val="Normal"/>
    <w:link w:val="Heading5Char"/>
    <w:qFormat/>
    <w:rsid w:val="007020CC"/>
    <w:pPr>
      <w:spacing w:before="80"/>
      <w:outlineLvl w:val="4"/>
    </w:pPr>
    <w:rPr>
      <w:color w:val="918585"/>
      <w:sz w:val="20"/>
    </w:rPr>
  </w:style>
  <w:style w:type="paragraph" w:styleId="Heading6">
    <w:name w:val="heading 6"/>
    <w:basedOn w:val="HeadingBase"/>
    <w:next w:val="Normal"/>
    <w:link w:val="Heading6Char"/>
    <w:qFormat/>
    <w:rsid w:val="007020CC"/>
    <w:pPr>
      <w:spacing w:before="60"/>
      <w:outlineLvl w:val="5"/>
    </w:pPr>
    <w:rPr>
      <w:color w:val="918585"/>
      <w:sz w:val="20"/>
    </w:rPr>
  </w:style>
  <w:style w:type="paragraph" w:styleId="Heading7">
    <w:name w:val="heading 7"/>
    <w:basedOn w:val="Normal"/>
    <w:next w:val="Normal"/>
    <w:link w:val="Heading7Char"/>
    <w:qFormat/>
    <w:rsid w:val="007020CC"/>
    <w:pPr>
      <w:ind w:left="720"/>
      <w:outlineLvl w:val="6"/>
    </w:pPr>
    <w:rPr>
      <w:i/>
    </w:rPr>
  </w:style>
  <w:style w:type="paragraph" w:styleId="Heading8">
    <w:name w:val="heading 8"/>
    <w:basedOn w:val="Normal"/>
    <w:next w:val="Normal"/>
    <w:link w:val="Heading8Char"/>
    <w:qFormat/>
    <w:rsid w:val="007020CC"/>
    <w:pPr>
      <w:ind w:left="720"/>
      <w:outlineLvl w:val="7"/>
    </w:pPr>
    <w:rPr>
      <w:i/>
    </w:rPr>
  </w:style>
  <w:style w:type="paragraph" w:styleId="Heading9">
    <w:name w:val="heading 9"/>
    <w:basedOn w:val="Normal"/>
    <w:next w:val="Normal"/>
    <w:link w:val="Heading9Char"/>
    <w:qFormat/>
    <w:rsid w:val="007020CC"/>
    <w:pPr>
      <w:ind w:left="720"/>
      <w:outlineLvl w:val="8"/>
    </w:pPr>
    <w:rPr>
      <w:i/>
    </w:rPr>
  </w:style>
  <w:style w:type="character" w:default="1" w:styleId="DefaultParagraphFont">
    <w:name w:val="Default Paragraph Font"/>
    <w:uiPriority w:val="1"/>
    <w:unhideWhenUsed/>
    <w:rsid w:val="00702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0CC"/>
  </w:style>
  <w:style w:type="character" w:customStyle="1" w:styleId="Heading1Char">
    <w:name w:val="Heading 1 Char"/>
    <w:basedOn w:val="DefaultParagraphFont"/>
    <w:link w:val="Heading1"/>
    <w:rsid w:val="007020CC"/>
    <w:rPr>
      <w:rFonts w:ascii="Times New Roman" w:eastAsia="Times New Roman" w:hAnsi="Times New Roman" w:cs="Times New Roman"/>
      <w:b/>
      <w:sz w:val="32"/>
      <w:szCs w:val="20"/>
      <w:lang w:eastAsia="en-US"/>
    </w:rPr>
  </w:style>
  <w:style w:type="paragraph" w:styleId="BodyText">
    <w:name w:val="Body Text"/>
    <w:basedOn w:val="Normal"/>
    <w:link w:val="BodyTextChar"/>
    <w:rsid w:val="00702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0CC"/>
    <w:rPr>
      <w:rFonts w:ascii="Times New Roman" w:eastAsia="Times New Roman" w:hAnsi="Times New Roman" w:cs="Times New Roman"/>
      <w:sz w:val="24"/>
      <w:lang w:eastAsia="en-US"/>
    </w:rPr>
  </w:style>
  <w:style w:type="paragraph" w:styleId="ListBullet">
    <w:name w:val="List Bullet"/>
    <w:basedOn w:val="List"/>
    <w:rsid w:val="007020CC"/>
    <w:pPr>
      <w:numPr>
        <w:numId w:val="13"/>
      </w:numPr>
      <w:tabs>
        <w:tab w:val="clear" w:pos="340"/>
      </w:tabs>
      <w:spacing w:before="40" w:after="40"/>
    </w:pPr>
  </w:style>
  <w:style w:type="paragraph" w:styleId="ListBullet2">
    <w:name w:val="List Bullet 2"/>
    <w:basedOn w:val="List2"/>
    <w:rsid w:val="007020CC"/>
    <w:pPr>
      <w:numPr>
        <w:numId w:val="14"/>
      </w:numPr>
      <w:tabs>
        <w:tab w:val="clear" w:pos="680"/>
      </w:tabs>
    </w:pPr>
  </w:style>
  <w:style w:type="paragraph" w:customStyle="1" w:styleId="SuperHeading">
    <w:name w:val="SuperHeading"/>
    <w:basedOn w:val="Normal"/>
    <w:rsid w:val="007020CC"/>
    <w:pPr>
      <w:spacing w:before="240" w:after="120"/>
      <w:outlineLvl w:val="0"/>
    </w:pPr>
    <w:rPr>
      <w:rFonts w:ascii="Times New Roman" w:hAnsi="Times New Roman"/>
      <w:b/>
      <w:sz w:val="32"/>
    </w:rPr>
  </w:style>
  <w:style w:type="paragraph" w:customStyle="1" w:styleId="AllowPageBreak">
    <w:name w:val="AllowPageBreak"/>
    <w:rsid w:val="00702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0CC"/>
    <w:rPr>
      <w:rFonts w:ascii="Courier New" w:eastAsia="Times New Roman" w:hAnsi="Courier New" w:cs="Times New Roman"/>
      <w:i/>
      <w:szCs w:val="20"/>
      <w:lang w:eastAsia="en-US"/>
    </w:rPr>
  </w:style>
  <w:style w:type="paragraph" w:customStyle="1" w:styleId="HeadingBase">
    <w:name w:val="Heading Base"/>
    <w:rsid w:val="00702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0CC"/>
    <w:pPr>
      <w:tabs>
        <w:tab w:val="right" w:leader="dot" w:pos="9072"/>
      </w:tabs>
      <w:ind w:left="567"/>
    </w:pPr>
    <w:rPr>
      <w:szCs w:val="22"/>
    </w:rPr>
  </w:style>
  <w:style w:type="paragraph" w:customStyle="1" w:styleId="TOCBase">
    <w:name w:val="TOC Base"/>
    <w:rsid w:val="00702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0CC"/>
    <w:pPr>
      <w:tabs>
        <w:tab w:val="right" w:leader="dot" w:pos="9072"/>
      </w:tabs>
      <w:spacing w:before="40" w:after="40"/>
      <w:ind w:left="284"/>
    </w:pPr>
    <w:rPr>
      <w:rFonts w:ascii="Times New Roman" w:hAnsi="Times New Roman"/>
    </w:rPr>
  </w:style>
  <w:style w:type="paragraph" w:styleId="TOC1">
    <w:name w:val="toc 1"/>
    <w:basedOn w:val="TOCBase"/>
    <w:next w:val="Normal"/>
    <w:rsid w:val="00702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0CC"/>
    <w:rPr>
      <w:rFonts w:ascii="Times New Roman" w:eastAsia="Times New Roman" w:hAnsi="Times New Roman" w:cs="Times New Roman"/>
      <w:sz w:val="16"/>
      <w:lang w:eastAsia="en-US"/>
    </w:rPr>
  </w:style>
  <w:style w:type="paragraph" w:styleId="Title">
    <w:name w:val="Title"/>
    <w:basedOn w:val="HeadingBase"/>
    <w:link w:val="TitleChar"/>
    <w:qFormat/>
    <w:rsid w:val="007020CC"/>
    <w:pPr>
      <w:spacing w:before="5040"/>
      <w:jc w:val="center"/>
    </w:pPr>
    <w:rPr>
      <w:sz w:val="48"/>
      <w:szCs w:val="72"/>
      <w:lang w:val="en-US"/>
    </w:rPr>
  </w:style>
  <w:style w:type="character" w:customStyle="1" w:styleId="TitleChar">
    <w:name w:val="Title Char"/>
    <w:basedOn w:val="DefaultParagraphFont"/>
    <w:link w:val="Title"/>
    <w:rsid w:val="00702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0CC"/>
    <w:pPr>
      <w:tabs>
        <w:tab w:val="left" w:pos="3600"/>
        <w:tab w:val="left" w:pos="3958"/>
      </w:tabs>
    </w:pPr>
  </w:style>
  <w:style w:type="paragraph" w:styleId="List">
    <w:name w:val="List"/>
    <w:basedOn w:val="BodyText"/>
    <w:next w:val="BodyText"/>
    <w:rsid w:val="007020CC"/>
    <w:pPr>
      <w:tabs>
        <w:tab w:val="left" w:pos="340"/>
      </w:tabs>
      <w:spacing w:before="60" w:after="60"/>
      <w:ind w:left="340" w:hanging="340"/>
    </w:pPr>
  </w:style>
  <w:style w:type="paragraph" w:customStyle="1" w:styleId="Note">
    <w:name w:val="Note"/>
    <w:basedOn w:val="BodyText"/>
    <w:rsid w:val="007020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20CC"/>
    <w:rPr>
      <w:b/>
      <w:spacing w:val="0"/>
    </w:rPr>
  </w:style>
  <w:style w:type="paragraph" w:customStyle="1" w:styleId="SuperTitle">
    <w:name w:val="SuperTitle"/>
    <w:basedOn w:val="Title"/>
    <w:rsid w:val="007020CC"/>
    <w:pPr>
      <w:framePr w:wrap="auto" w:hAnchor="text" w:y="6049"/>
    </w:pPr>
    <w:rPr>
      <w:color w:val="000000"/>
      <w:sz w:val="40"/>
    </w:rPr>
  </w:style>
  <w:style w:type="paragraph" w:customStyle="1" w:styleId="TOCTitle">
    <w:name w:val="TOCTitle"/>
    <w:basedOn w:val="Heading1"/>
    <w:rsid w:val="007020CC"/>
    <w:pPr>
      <w:spacing w:after="240"/>
      <w:jc w:val="center"/>
      <w:outlineLvl w:val="9"/>
    </w:pPr>
    <w:rPr>
      <w:caps/>
    </w:rPr>
  </w:style>
  <w:style w:type="paragraph" w:customStyle="1" w:styleId="Version">
    <w:name w:val="Version"/>
    <w:rsid w:val="00702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0CC"/>
    <w:pPr>
      <w:keepNext w:val="0"/>
      <w:tabs>
        <w:tab w:val="right" w:pos="4176"/>
      </w:tabs>
      <w:ind w:left="198" w:hanging="198"/>
    </w:pPr>
    <w:rPr>
      <w:rFonts w:ascii="Garamond" w:hAnsi="Garamond"/>
    </w:rPr>
  </w:style>
  <w:style w:type="paragraph" w:styleId="IndexHeading">
    <w:name w:val="index heading"/>
    <w:basedOn w:val="Normal"/>
    <w:next w:val="Index1"/>
    <w:semiHidden/>
    <w:rsid w:val="007020CC"/>
    <w:pPr>
      <w:spacing w:before="120" w:after="120"/>
    </w:pPr>
    <w:rPr>
      <w:rFonts w:ascii="Arial" w:hAnsi="Arial"/>
      <w:b/>
      <w:color w:val="918585"/>
      <w:sz w:val="24"/>
    </w:rPr>
  </w:style>
  <w:style w:type="paragraph" w:styleId="Header">
    <w:name w:val="header"/>
    <w:basedOn w:val="Normal"/>
    <w:link w:val="HeaderChar"/>
    <w:rsid w:val="00702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0CC"/>
    <w:rPr>
      <w:rFonts w:ascii="Times New Roman" w:eastAsia="Times New Roman" w:hAnsi="Times New Roman" w:cs="Times New Roman"/>
      <w:sz w:val="16"/>
      <w:szCs w:val="20"/>
      <w:lang w:val="en-GB" w:eastAsia="en-US"/>
    </w:rPr>
  </w:style>
  <w:style w:type="paragraph" w:customStyle="1" w:styleId="Chapter">
    <w:name w:val="Chapter"/>
    <w:basedOn w:val="Normal"/>
    <w:rsid w:val="007020CC"/>
    <w:pPr>
      <w:spacing w:before="240"/>
    </w:pPr>
    <w:rPr>
      <w:rFonts w:ascii="Times New Roman" w:hAnsi="Times New Roman"/>
      <w:smallCaps/>
      <w:spacing w:val="80"/>
      <w:sz w:val="28"/>
    </w:rPr>
  </w:style>
  <w:style w:type="paragraph" w:customStyle="1" w:styleId="InChapter">
    <w:name w:val="InChapter"/>
    <w:basedOn w:val="Heading3"/>
    <w:rsid w:val="007020CC"/>
    <w:pPr>
      <w:spacing w:after="240"/>
      <w:outlineLvl w:val="9"/>
    </w:pPr>
    <w:rPr>
      <w:noProof/>
    </w:rPr>
  </w:style>
  <w:style w:type="paragraph" w:styleId="Index2">
    <w:name w:val="index 2"/>
    <w:basedOn w:val="Normal"/>
    <w:next w:val="Normal"/>
    <w:semiHidden/>
    <w:rsid w:val="007020CC"/>
    <w:pPr>
      <w:tabs>
        <w:tab w:val="right" w:pos="4176"/>
      </w:tabs>
      <w:ind w:left="568" w:hanging="284"/>
    </w:pPr>
    <w:rPr>
      <w:rFonts w:ascii="Garamond" w:hAnsi="Garamond"/>
    </w:rPr>
  </w:style>
  <w:style w:type="paragraph" w:customStyle="1" w:styleId="Byline">
    <w:name w:val="Byline"/>
    <w:rsid w:val="00702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0CC"/>
    <w:pPr>
      <w:tabs>
        <w:tab w:val="clear" w:pos="3600"/>
        <w:tab w:val="clear" w:pos="3958"/>
      </w:tabs>
      <w:jc w:val="right"/>
    </w:pPr>
  </w:style>
  <w:style w:type="character" w:styleId="Emphasis">
    <w:name w:val="Emphasis"/>
    <w:basedOn w:val="DefaultParagraphFont"/>
    <w:qFormat/>
    <w:rsid w:val="007020CC"/>
    <w:rPr>
      <w:i/>
    </w:rPr>
  </w:style>
  <w:style w:type="paragraph" w:styleId="Caption">
    <w:name w:val="caption"/>
    <w:basedOn w:val="BodyText"/>
    <w:next w:val="Normal"/>
    <w:qFormat/>
    <w:rsid w:val="007020CC"/>
    <w:pPr>
      <w:framePr w:w="2268" w:hSpace="181" w:vSpace="181" w:wrap="around" w:vAnchor="text" w:hAnchor="page" w:x="1135" w:y="285" w:anchorLock="1"/>
    </w:pPr>
    <w:rPr>
      <w:i/>
    </w:rPr>
  </w:style>
  <w:style w:type="paragraph" w:customStyle="1" w:styleId="MiniTOCTitle">
    <w:name w:val="MiniTOCTitle"/>
    <w:basedOn w:val="Heading4"/>
    <w:rsid w:val="007020CC"/>
    <w:pPr>
      <w:spacing w:before="240"/>
      <w:outlineLvl w:val="9"/>
    </w:pPr>
    <w:rPr>
      <w:noProof/>
      <w:sz w:val="24"/>
    </w:rPr>
  </w:style>
  <w:style w:type="paragraph" w:customStyle="1" w:styleId="MiniTOCItem">
    <w:name w:val="MiniTOCItem"/>
    <w:basedOn w:val="ListBullet"/>
    <w:rsid w:val="007020CC"/>
    <w:pPr>
      <w:numPr>
        <w:numId w:val="0"/>
      </w:numPr>
      <w:tabs>
        <w:tab w:val="right" w:leader="dot" w:pos="6521"/>
      </w:tabs>
      <w:spacing w:before="0" w:after="0"/>
    </w:pPr>
  </w:style>
  <w:style w:type="paragraph" w:customStyle="1" w:styleId="TOFTitle">
    <w:name w:val="TOFTitle"/>
    <w:basedOn w:val="TOCTitle"/>
    <w:rsid w:val="007020CC"/>
  </w:style>
  <w:style w:type="paragraph" w:styleId="TableofFigures">
    <w:name w:val="table of figures"/>
    <w:basedOn w:val="Normal"/>
    <w:next w:val="Normal"/>
    <w:semiHidden/>
    <w:rsid w:val="007020CC"/>
    <w:pPr>
      <w:tabs>
        <w:tab w:val="right" w:leader="dot" w:pos="9072"/>
      </w:tabs>
      <w:ind w:left="970" w:hanging="403"/>
    </w:pPr>
    <w:rPr>
      <w:rFonts w:ascii="Times New Roman" w:hAnsi="Times New Roman"/>
      <w:b/>
    </w:rPr>
  </w:style>
  <w:style w:type="paragraph" w:styleId="ListNumber">
    <w:name w:val="List Number"/>
    <w:basedOn w:val="List"/>
    <w:rsid w:val="007020CC"/>
    <w:pPr>
      <w:numPr>
        <w:numId w:val="11"/>
      </w:numPr>
    </w:pPr>
  </w:style>
  <w:style w:type="character" w:customStyle="1" w:styleId="WingdingSymbols">
    <w:name w:val="Wingding Symbols"/>
    <w:rsid w:val="007020CC"/>
    <w:rPr>
      <w:rFonts w:ascii="Wingdings" w:hAnsi="Wingdings"/>
    </w:rPr>
  </w:style>
  <w:style w:type="paragraph" w:customStyle="1" w:styleId="TableHeading">
    <w:name w:val="Table Heading"/>
    <w:basedOn w:val="HeadingBase"/>
    <w:rsid w:val="007020CC"/>
    <w:pPr>
      <w:keepLines/>
      <w:pBdr>
        <w:bottom w:val="single" w:sz="6" w:space="1" w:color="918585"/>
      </w:pBdr>
      <w:spacing w:before="240"/>
    </w:pPr>
  </w:style>
  <w:style w:type="character" w:customStyle="1" w:styleId="HotSpot">
    <w:name w:val="HotSpot"/>
    <w:rsid w:val="007020CC"/>
    <w:rPr>
      <w:color w:val="0033CC"/>
      <w:u w:val="none"/>
    </w:rPr>
  </w:style>
  <w:style w:type="paragraph" w:customStyle="1" w:styleId="BodyTextRight">
    <w:name w:val="Body Text Right"/>
    <w:basedOn w:val="BodyText"/>
    <w:rsid w:val="007020CC"/>
    <w:pPr>
      <w:spacing w:before="0" w:after="0"/>
      <w:jc w:val="right"/>
    </w:pPr>
  </w:style>
  <w:style w:type="paragraph" w:styleId="Index3">
    <w:name w:val="index 3"/>
    <w:basedOn w:val="ListNumber2"/>
    <w:next w:val="Normal"/>
    <w:semiHidden/>
    <w:rsid w:val="007020CC"/>
    <w:pPr>
      <w:numPr>
        <w:numId w:val="0"/>
      </w:numPr>
      <w:tabs>
        <w:tab w:val="right" w:leader="dot" w:pos="4176"/>
      </w:tabs>
    </w:pPr>
  </w:style>
  <w:style w:type="paragraph" w:styleId="ListNumber2">
    <w:name w:val="List Number 2"/>
    <w:basedOn w:val="List2"/>
    <w:rsid w:val="007020CC"/>
    <w:pPr>
      <w:numPr>
        <w:numId w:val="10"/>
      </w:numPr>
      <w:tabs>
        <w:tab w:val="clear" w:pos="1060"/>
      </w:tabs>
    </w:pPr>
  </w:style>
  <w:style w:type="paragraph" w:customStyle="1" w:styleId="MarginNote">
    <w:name w:val="Margin Note"/>
    <w:basedOn w:val="BodyText"/>
    <w:rsid w:val="00702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0CC"/>
    <w:rPr>
      <w:sz w:val="32"/>
    </w:rPr>
  </w:style>
  <w:style w:type="paragraph" w:customStyle="1" w:styleId="HeadingProcedure">
    <w:name w:val="Heading Procedure"/>
    <w:basedOn w:val="HeadingBase"/>
    <w:next w:val="Normal"/>
    <w:rsid w:val="007020CC"/>
    <w:pPr>
      <w:tabs>
        <w:tab w:val="left" w:pos="0"/>
      </w:tabs>
      <w:spacing w:before="120" w:after="60"/>
    </w:pPr>
    <w:rPr>
      <w:i/>
      <w:color w:val="918585"/>
      <w:sz w:val="22"/>
    </w:rPr>
  </w:style>
  <w:style w:type="paragraph" w:customStyle="1" w:styleId="TableBodyText">
    <w:name w:val="Table Body Text"/>
    <w:basedOn w:val="BodyText"/>
    <w:rsid w:val="007020CC"/>
    <w:pPr>
      <w:spacing w:before="60" w:after="60"/>
    </w:pPr>
  </w:style>
  <w:style w:type="paragraph" w:styleId="ListContinue">
    <w:name w:val="List Continue"/>
    <w:basedOn w:val="List"/>
    <w:rsid w:val="007020CC"/>
    <w:pPr>
      <w:ind w:firstLine="0"/>
    </w:pPr>
  </w:style>
  <w:style w:type="paragraph" w:customStyle="1" w:styleId="ListNote">
    <w:name w:val="List Note"/>
    <w:basedOn w:val="List"/>
    <w:rsid w:val="007020CC"/>
    <w:pPr>
      <w:pBdr>
        <w:top w:val="single" w:sz="6" w:space="2" w:color="918585"/>
        <w:bottom w:val="single" w:sz="6" w:space="2" w:color="918585"/>
      </w:pBdr>
      <w:tabs>
        <w:tab w:val="left" w:pos="1021"/>
      </w:tabs>
      <w:ind w:firstLine="0"/>
    </w:pPr>
  </w:style>
  <w:style w:type="paragraph" w:customStyle="1" w:styleId="Warning">
    <w:name w:val="Warning"/>
    <w:basedOn w:val="BodyText"/>
    <w:rsid w:val="007020CC"/>
    <w:pPr>
      <w:shd w:val="clear" w:color="auto" w:fill="D9D9D9"/>
      <w:tabs>
        <w:tab w:val="left" w:pos="992"/>
      </w:tabs>
      <w:ind w:left="119" w:right="119"/>
    </w:pPr>
    <w:rPr>
      <w:sz w:val="20"/>
    </w:rPr>
  </w:style>
  <w:style w:type="paragraph" w:customStyle="1" w:styleId="MarginIcons">
    <w:name w:val="Margin Icons"/>
    <w:basedOn w:val="BodyText"/>
    <w:rsid w:val="00702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0CC"/>
    <w:rPr>
      <w:rFonts w:ascii="Courier New" w:hAnsi="Courier New"/>
    </w:rPr>
  </w:style>
  <w:style w:type="paragraph" w:customStyle="1" w:styleId="NoteBullet">
    <w:name w:val="Note Bullet"/>
    <w:basedOn w:val="Note"/>
    <w:rsid w:val="007020CC"/>
    <w:pPr>
      <w:tabs>
        <w:tab w:val="clear" w:pos="680"/>
      </w:tabs>
      <w:spacing w:before="60" w:after="60"/>
    </w:pPr>
  </w:style>
  <w:style w:type="paragraph" w:customStyle="1" w:styleId="SubHeading2">
    <w:name w:val="SubHeading2"/>
    <w:basedOn w:val="HeadingBase"/>
    <w:rsid w:val="007020CC"/>
    <w:pPr>
      <w:spacing w:before="240" w:after="60"/>
    </w:pPr>
    <w:rPr>
      <w:sz w:val="20"/>
    </w:rPr>
  </w:style>
  <w:style w:type="paragraph" w:customStyle="1" w:styleId="SubHeading1">
    <w:name w:val="SubHeading1"/>
    <w:basedOn w:val="HeadingBase"/>
    <w:rsid w:val="007020CC"/>
    <w:pPr>
      <w:spacing w:before="240" w:after="60"/>
    </w:pPr>
    <w:rPr>
      <w:color w:val="918585"/>
      <w:sz w:val="22"/>
    </w:rPr>
  </w:style>
  <w:style w:type="paragraph" w:customStyle="1" w:styleId="SideHeading">
    <w:name w:val="Side Heading"/>
    <w:basedOn w:val="HeadingBase"/>
    <w:rsid w:val="00702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0CC"/>
    <w:pPr>
      <w:numPr>
        <w:numId w:val="12"/>
      </w:numPr>
    </w:pPr>
  </w:style>
  <w:style w:type="paragraph" w:styleId="PlainText">
    <w:name w:val="Plain Text"/>
    <w:basedOn w:val="Normal"/>
    <w:link w:val="PlainTextChar"/>
    <w:rsid w:val="007020CC"/>
    <w:rPr>
      <w:sz w:val="20"/>
    </w:rPr>
  </w:style>
  <w:style w:type="character" w:customStyle="1" w:styleId="PlainTextChar">
    <w:name w:val="Plain Text Char"/>
    <w:basedOn w:val="DefaultParagraphFont"/>
    <w:link w:val="PlainText"/>
    <w:rsid w:val="007020CC"/>
    <w:rPr>
      <w:rFonts w:ascii="Courier New" w:eastAsia="Times New Roman" w:hAnsi="Courier New" w:cs="Times New Roman"/>
      <w:sz w:val="20"/>
      <w:szCs w:val="20"/>
      <w:lang w:eastAsia="en-US"/>
    </w:rPr>
  </w:style>
  <w:style w:type="character" w:customStyle="1" w:styleId="MenuOption">
    <w:name w:val="Menu Option"/>
    <w:basedOn w:val="DefaultParagraphFont"/>
    <w:rsid w:val="007020CC"/>
    <w:rPr>
      <w:b/>
      <w:smallCaps/>
    </w:rPr>
  </w:style>
  <w:style w:type="paragraph" w:customStyle="1" w:styleId="TableListNumber">
    <w:name w:val="Table List Number"/>
    <w:basedOn w:val="ListNumber"/>
    <w:rsid w:val="007020CC"/>
    <w:pPr>
      <w:numPr>
        <w:numId w:val="0"/>
      </w:numPr>
    </w:pPr>
  </w:style>
  <w:style w:type="paragraph" w:styleId="TOC4">
    <w:name w:val="toc 4"/>
    <w:basedOn w:val="TOCBase"/>
    <w:next w:val="Normal"/>
    <w:semiHidden/>
    <w:rsid w:val="007020CC"/>
    <w:pPr>
      <w:tabs>
        <w:tab w:val="right" w:leader="dot" w:pos="9071"/>
      </w:tabs>
      <w:ind w:left="1701"/>
    </w:pPr>
  </w:style>
  <w:style w:type="paragraph" w:customStyle="1" w:styleId="ListAlpha">
    <w:name w:val="List Alpha"/>
    <w:basedOn w:val="List"/>
    <w:rsid w:val="007020CC"/>
    <w:pPr>
      <w:numPr>
        <w:numId w:val="9"/>
      </w:numPr>
    </w:pPr>
  </w:style>
  <w:style w:type="paragraph" w:customStyle="1" w:styleId="ListAlpha2">
    <w:name w:val="List Alpha 2"/>
    <w:basedOn w:val="List2"/>
    <w:rsid w:val="007020CC"/>
    <w:pPr>
      <w:numPr>
        <w:numId w:val="8"/>
      </w:numPr>
    </w:pPr>
  </w:style>
  <w:style w:type="paragraph" w:styleId="List2">
    <w:name w:val="List 2"/>
    <w:basedOn w:val="BodyText"/>
    <w:rsid w:val="007020CC"/>
    <w:pPr>
      <w:tabs>
        <w:tab w:val="left" w:pos="680"/>
      </w:tabs>
      <w:spacing w:before="60" w:after="60"/>
      <w:ind w:left="680" w:hanging="340"/>
    </w:pPr>
  </w:style>
  <w:style w:type="paragraph" w:styleId="List3">
    <w:name w:val="List 3"/>
    <w:basedOn w:val="BodyText"/>
    <w:rsid w:val="007020CC"/>
    <w:pPr>
      <w:tabs>
        <w:tab w:val="left" w:pos="1021"/>
      </w:tabs>
      <w:spacing w:before="60" w:after="60"/>
      <w:ind w:left="1020" w:hanging="340"/>
    </w:pPr>
  </w:style>
  <w:style w:type="paragraph" w:styleId="List4">
    <w:name w:val="List 4"/>
    <w:basedOn w:val="BodyText"/>
    <w:rsid w:val="007020CC"/>
    <w:pPr>
      <w:tabs>
        <w:tab w:val="left" w:pos="1361"/>
      </w:tabs>
      <w:spacing w:before="60" w:after="60"/>
      <w:ind w:left="1361" w:hanging="340"/>
    </w:pPr>
  </w:style>
  <w:style w:type="paragraph" w:styleId="List5">
    <w:name w:val="List 5"/>
    <w:basedOn w:val="BodyText"/>
    <w:rsid w:val="007020CC"/>
    <w:pPr>
      <w:tabs>
        <w:tab w:val="left" w:pos="1701"/>
      </w:tabs>
      <w:spacing w:before="60" w:after="60"/>
      <w:ind w:left="1701" w:hanging="340"/>
    </w:pPr>
  </w:style>
  <w:style w:type="paragraph" w:styleId="ListBullet3">
    <w:name w:val="List Bullet 3"/>
    <w:basedOn w:val="List3"/>
    <w:rsid w:val="007020CC"/>
    <w:pPr>
      <w:numPr>
        <w:numId w:val="15"/>
      </w:numPr>
      <w:tabs>
        <w:tab w:val="clear" w:pos="1021"/>
      </w:tabs>
      <w:ind w:left="1037" w:hanging="357"/>
    </w:pPr>
  </w:style>
  <w:style w:type="paragraph" w:styleId="ListBullet4">
    <w:name w:val="List Bullet 4"/>
    <w:basedOn w:val="List4"/>
    <w:rsid w:val="007020CC"/>
    <w:pPr>
      <w:numPr>
        <w:numId w:val="3"/>
      </w:numPr>
      <w:tabs>
        <w:tab w:val="clear" w:pos="1361"/>
      </w:tabs>
    </w:pPr>
  </w:style>
  <w:style w:type="paragraph" w:styleId="ListBullet5">
    <w:name w:val="List Bullet 5"/>
    <w:basedOn w:val="List5"/>
    <w:rsid w:val="007020CC"/>
    <w:pPr>
      <w:numPr>
        <w:numId w:val="4"/>
      </w:numPr>
    </w:pPr>
  </w:style>
  <w:style w:type="paragraph" w:styleId="ListContinue2">
    <w:name w:val="List Continue 2"/>
    <w:basedOn w:val="List2"/>
    <w:rsid w:val="007020CC"/>
    <w:pPr>
      <w:ind w:firstLine="0"/>
    </w:pPr>
  </w:style>
  <w:style w:type="paragraph" w:styleId="ListContinue3">
    <w:name w:val="List Continue 3"/>
    <w:basedOn w:val="List3"/>
    <w:rsid w:val="007020CC"/>
    <w:pPr>
      <w:ind w:left="1021" w:firstLine="0"/>
    </w:pPr>
  </w:style>
  <w:style w:type="paragraph" w:styleId="ListContinue4">
    <w:name w:val="List Continue 4"/>
    <w:basedOn w:val="List4"/>
    <w:rsid w:val="007020CC"/>
    <w:pPr>
      <w:ind w:firstLine="0"/>
    </w:pPr>
  </w:style>
  <w:style w:type="paragraph" w:styleId="ListContinue5">
    <w:name w:val="List Continue 5"/>
    <w:basedOn w:val="List5"/>
    <w:rsid w:val="007020CC"/>
    <w:pPr>
      <w:ind w:firstLine="0"/>
    </w:pPr>
  </w:style>
  <w:style w:type="paragraph" w:styleId="ListNumber3">
    <w:name w:val="List Number 3"/>
    <w:basedOn w:val="List3"/>
    <w:rsid w:val="007020CC"/>
    <w:pPr>
      <w:numPr>
        <w:numId w:val="5"/>
      </w:numPr>
    </w:pPr>
  </w:style>
  <w:style w:type="paragraph" w:styleId="ListNumber4">
    <w:name w:val="List Number 4"/>
    <w:basedOn w:val="List4"/>
    <w:rsid w:val="007020CC"/>
    <w:pPr>
      <w:numPr>
        <w:numId w:val="6"/>
      </w:numPr>
    </w:pPr>
  </w:style>
  <w:style w:type="paragraph" w:styleId="ListNumber5">
    <w:name w:val="List Number 5"/>
    <w:basedOn w:val="List5"/>
    <w:rsid w:val="007020CC"/>
    <w:pPr>
      <w:numPr>
        <w:numId w:val="7"/>
      </w:numPr>
    </w:pPr>
  </w:style>
  <w:style w:type="paragraph" w:styleId="BlockText">
    <w:name w:val="Block Text"/>
    <w:basedOn w:val="Normal"/>
    <w:rsid w:val="007020CC"/>
    <w:pPr>
      <w:spacing w:after="120"/>
      <w:ind w:left="1440" w:right="1440"/>
    </w:pPr>
  </w:style>
  <w:style w:type="character" w:customStyle="1" w:styleId="Subscript">
    <w:name w:val="Subscript"/>
    <w:basedOn w:val="DefaultParagraphFont"/>
    <w:rsid w:val="007020CC"/>
    <w:rPr>
      <w:sz w:val="16"/>
      <w:vertAlign w:val="subscript"/>
    </w:rPr>
  </w:style>
  <w:style w:type="character" w:customStyle="1" w:styleId="Superscript">
    <w:name w:val="Superscript"/>
    <w:basedOn w:val="DefaultParagraphFont"/>
    <w:rsid w:val="007020CC"/>
    <w:rPr>
      <w:sz w:val="16"/>
      <w:vertAlign w:val="superscript"/>
    </w:rPr>
  </w:style>
  <w:style w:type="character" w:customStyle="1" w:styleId="Symbols">
    <w:name w:val="Symbols"/>
    <w:basedOn w:val="DefaultParagraphFont"/>
    <w:rsid w:val="007020CC"/>
    <w:rPr>
      <w:rFonts w:ascii="Symbol" w:hAnsi="Symbol"/>
    </w:rPr>
  </w:style>
  <w:style w:type="character" w:customStyle="1" w:styleId="MenuOptions">
    <w:name w:val="Menu Options"/>
    <w:basedOn w:val="DefaultParagraphFont"/>
    <w:rsid w:val="007020CC"/>
    <w:rPr>
      <w:rFonts w:ascii="Arial Narrow" w:hAnsi="Arial Narrow"/>
      <w:smallCaps/>
    </w:rPr>
  </w:style>
  <w:style w:type="character" w:customStyle="1" w:styleId="Buttons">
    <w:name w:val="Buttons"/>
    <w:basedOn w:val="DefaultParagraphFont"/>
    <w:rsid w:val="007020CC"/>
    <w:rPr>
      <w:b/>
    </w:rPr>
  </w:style>
  <w:style w:type="character" w:customStyle="1" w:styleId="Underlined">
    <w:name w:val="Underlined"/>
    <w:basedOn w:val="DefaultParagraphFont"/>
    <w:rsid w:val="007020CC"/>
    <w:rPr>
      <w:u w:val="single"/>
    </w:rPr>
  </w:style>
  <w:style w:type="paragraph" w:customStyle="1" w:styleId="TableBodyTextRight">
    <w:name w:val="Table Body Text Right"/>
    <w:basedOn w:val="TableBodyText"/>
    <w:rsid w:val="007020CC"/>
    <w:pPr>
      <w:widowControl w:val="0"/>
      <w:autoSpaceDE w:val="0"/>
      <w:autoSpaceDN w:val="0"/>
      <w:adjustRightInd w:val="0"/>
      <w:jc w:val="right"/>
    </w:pPr>
    <w:rPr>
      <w:rFonts w:cs="Arial"/>
      <w:szCs w:val="18"/>
    </w:rPr>
  </w:style>
  <w:style w:type="paragraph" w:customStyle="1" w:styleId="CopyrightText">
    <w:name w:val="Copyright Text"/>
    <w:basedOn w:val="BodyText"/>
    <w:rsid w:val="007020CC"/>
    <w:rPr>
      <w:sz w:val="18"/>
    </w:rPr>
  </w:style>
  <w:style w:type="paragraph" w:customStyle="1" w:styleId="BodySmallRight">
    <w:name w:val="Body Small Right"/>
    <w:basedOn w:val="BodyTextRight"/>
    <w:rsid w:val="007020CC"/>
    <w:rPr>
      <w:sz w:val="18"/>
      <w:szCs w:val="18"/>
    </w:rPr>
  </w:style>
  <w:style w:type="paragraph" w:customStyle="1" w:styleId="MarginEdition">
    <w:name w:val="Margin Edition"/>
    <w:basedOn w:val="MarginNote"/>
    <w:rsid w:val="007020CC"/>
    <w:pPr>
      <w:spacing w:before="0" w:after="0"/>
    </w:pPr>
    <w:rPr>
      <w:rFonts w:ascii="Times New Roman" w:hAnsi="Times New Roman"/>
      <w:color w:val="999999"/>
    </w:rPr>
  </w:style>
  <w:style w:type="paragraph" w:customStyle="1" w:styleId="Spacer">
    <w:name w:val="Spacer"/>
    <w:basedOn w:val="Normal"/>
    <w:rsid w:val="007020CC"/>
    <w:rPr>
      <w:sz w:val="2"/>
      <w:szCs w:val="2"/>
    </w:rPr>
  </w:style>
  <w:style w:type="character" w:customStyle="1" w:styleId="Small">
    <w:name w:val="Small"/>
    <w:basedOn w:val="DefaultParagraphFont"/>
    <w:rsid w:val="007020CC"/>
    <w:rPr>
      <w:sz w:val="16"/>
    </w:rPr>
  </w:style>
  <w:style w:type="paragraph" w:customStyle="1" w:styleId="WideTable">
    <w:name w:val="Wide Table"/>
    <w:basedOn w:val="Normal"/>
    <w:rsid w:val="007020CC"/>
    <w:pPr>
      <w:ind w:left="-1418"/>
    </w:pPr>
    <w:rPr>
      <w:sz w:val="2"/>
      <w:szCs w:val="2"/>
    </w:rPr>
  </w:style>
  <w:style w:type="character" w:styleId="PageNumber">
    <w:name w:val="page number"/>
    <w:basedOn w:val="DefaultParagraphFont"/>
    <w:rsid w:val="007020CC"/>
  </w:style>
  <w:style w:type="paragraph" w:styleId="Quote">
    <w:name w:val="Quote"/>
    <w:basedOn w:val="Heading1"/>
    <w:link w:val="QuoteChar"/>
    <w:qFormat/>
    <w:rsid w:val="007020CC"/>
    <w:rPr>
      <w:b w:val="0"/>
      <w:sz w:val="72"/>
      <w:szCs w:val="72"/>
      <w:lang w:val="en-NZ"/>
    </w:rPr>
  </w:style>
  <w:style w:type="character" w:customStyle="1" w:styleId="QuoteChar">
    <w:name w:val="Quote Char"/>
    <w:basedOn w:val="DefaultParagraphFont"/>
    <w:link w:val="Quote"/>
    <w:rsid w:val="00702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0CC"/>
    <w:pPr>
      <w:pageBreakBefore/>
    </w:pPr>
  </w:style>
  <w:style w:type="paragraph" w:customStyle="1" w:styleId="Border">
    <w:name w:val="Border"/>
    <w:basedOn w:val="Normal"/>
    <w:qFormat/>
    <w:rsid w:val="00702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0CC"/>
    <w:rPr>
      <w:b/>
      <w:bCs/>
      <w:i/>
      <w:iCs/>
      <w:color w:val="auto"/>
    </w:rPr>
  </w:style>
  <w:style w:type="paragraph" w:styleId="IntenseQuote">
    <w:name w:val="Intense Quote"/>
    <w:basedOn w:val="Normal"/>
    <w:next w:val="Normal"/>
    <w:link w:val="IntenseQuoteChar"/>
    <w:uiPriority w:val="30"/>
    <w:qFormat/>
    <w:rsid w:val="00702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0CC"/>
    <w:rPr>
      <w:smallCaps/>
      <w:color w:val="auto"/>
      <w:u w:val="single"/>
    </w:rPr>
  </w:style>
  <w:style w:type="character" w:styleId="IntenseReference">
    <w:name w:val="Intense Reference"/>
    <w:basedOn w:val="DefaultParagraphFont"/>
    <w:uiPriority w:val="32"/>
    <w:qFormat/>
    <w:rsid w:val="007020CC"/>
    <w:rPr>
      <w:b/>
      <w:bCs/>
      <w:smallCaps/>
      <w:color w:val="auto"/>
      <w:spacing w:val="5"/>
      <w:u w:val="single"/>
    </w:rPr>
  </w:style>
  <w:style w:type="paragraph" w:customStyle="1" w:styleId="2ColumnHeading">
    <w:name w:val="2Column Heading"/>
    <w:basedOn w:val="BodyText"/>
    <w:qFormat/>
    <w:rsid w:val="007020CC"/>
    <w:pPr>
      <w:spacing w:after="60"/>
      <w:ind w:left="-2268"/>
    </w:pPr>
    <w:rPr>
      <w:b/>
    </w:rPr>
  </w:style>
  <w:style w:type="paragraph" w:customStyle="1" w:styleId="Heading1TOC">
    <w:name w:val="Heading1 TOC"/>
    <w:basedOn w:val="Normal"/>
    <w:qFormat/>
    <w:rsid w:val="007020CC"/>
    <w:pPr>
      <w:spacing w:before="240" w:after="120"/>
    </w:pPr>
    <w:rPr>
      <w:rFonts w:ascii="Times New Roman" w:hAnsi="Times New Roman"/>
      <w:b/>
      <w:sz w:val="32"/>
    </w:rPr>
  </w:style>
  <w:style w:type="paragraph" w:customStyle="1" w:styleId="Heading2TOC">
    <w:name w:val="Heading2 TOC"/>
    <w:basedOn w:val="Normal"/>
    <w:qFormat/>
    <w:rsid w:val="007020CC"/>
    <w:pPr>
      <w:spacing w:before="240" w:after="60"/>
    </w:pPr>
    <w:rPr>
      <w:rFonts w:ascii="Times New Roman" w:hAnsi="Times New Roman"/>
      <w:b/>
      <w:sz w:val="28"/>
    </w:rPr>
  </w:style>
  <w:style w:type="character" w:customStyle="1" w:styleId="Underline">
    <w:name w:val="Underline"/>
    <w:basedOn w:val="DefaultParagraphFont"/>
    <w:qFormat/>
    <w:rsid w:val="007020CC"/>
    <w:rPr>
      <w:u w:val="single"/>
    </w:rPr>
  </w:style>
  <w:style w:type="character" w:customStyle="1" w:styleId="BoldandItalics">
    <w:name w:val="Bold and Italics"/>
    <w:qFormat/>
    <w:rsid w:val="007020CC"/>
    <w:rPr>
      <w:b/>
      <w:i/>
      <w:u w:val="none"/>
    </w:rPr>
  </w:style>
  <w:style w:type="paragraph" w:styleId="BalloonText">
    <w:name w:val="Balloon Text"/>
    <w:basedOn w:val="Normal"/>
    <w:link w:val="BalloonTextChar"/>
    <w:rsid w:val="007020CC"/>
    <w:rPr>
      <w:rFonts w:ascii="Tahoma" w:hAnsi="Tahoma" w:cs="Tahoma"/>
      <w:sz w:val="16"/>
      <w:szCs w:val="16"/>
    </w:rPr>
  </w:style>
  <w:style w:type="character" w:customStyle="1" w:styleId="BalloonTextChar">
    <w:name w:val="Balloon Text Char"/>
    <w:basedOn w:val="DefaultParagraphFont"/>
    <w:link w:val="BalloonText"/>
    <w:rsid w:val="00702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0CC"/>
    <w:rPr>
      <w:b/>
      <w:color w:val="660033"/>
      <w:spacing w:val="0"/>
    </w:rPr>
  </w:style>
  <w:style w:type="paragraph" w:customStyle="1" w:styleId="Nameditemlist">
    <w:name w:val="Named item list"/>
    <w:basedOn w:val="BodyText"/>
    <w:qFormat/>
    <w:rsid w:val="007020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5427</Characters>
  <Application>Microsoft Office Word</Application>
  <DocSecurity>0</DocSecurity>
  <Lines>129</Lines>
  <Paragraphs>88</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PMC557098 Specify refractory installation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2016-06-22T08:41:00Z</dcterms:created>
  <dcterms:modified xsi:type="dcterms:W3CDTF">2016-06-22T08:41:00Z</dcterms:modified>
</cp:coreProperties>
</file>