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F3F" w:rsidP="00531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PMC557095 Specify and monitor the installation of monolithic/castable refractories</w:t>
      </w:r>
      <w:r>
        <w:fldChar w:fldCharType="end"/>
      </w:r>
    </w:p>
    <w:p w:rsidR="00531F3F" w:rsidP="00531F3F">
      <w:pPr>
        <w:pStyle w:val="Version"/>
        <w:sectPr w:rsidSect="00FD0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211" w:rsidP="00FD0211">
      <w:pPr>
        <w:pStyle w:val="SuperHeading"/>
      </w:pPr>
      <w:r w:rsidRPr="00FD0211">
        <w:t>Assessment Requirements for PMC557095 Specify and monitor the installation of monolithic/castable refractories</w:t>
      </w:r>
    </w:p>
    <w:p w:rsidR="00000000" w:rsidRPr="00FD0211" w:rsidP="00FD0211">
      <w:pPr>
        <w:pStyle w:val="Heading1"/>
      </w:pPr>
      <w:bookmarkStart w:id="1" w:name="O_929455"/>
      <w:bookmarkEnd w:id="1"/>
      <w:r w:rsidRPr="00FD0211">
        <w:t>Modification History</w:t>
      </w:r>
    </w:p>
    <w:p w:rsidR="00000000" w:rsidRPr="00FD0211" w:rsidP="00FD0211">
      <w:pPr>
        <w:pStyle w:val="BodyText"/>
      </w:pPr>
      <w:r w:rsidRPr="00FD0211">
        <w:t>Release 1. Supersedes and is equivalent to PMC557095A Specify and monitor the installation of monolithic/castable refractories</w:t>
      </w:r>
    </w:p>
    <w:p w:rsidR="00000000" w:rsidRPr="00FD0211" w:rsidP="00FD0211">
      <w:pPr>
        <w:pStyle w:val="AllowPageBreak"/>
      </w:pPr>
    </w:p>
    <w:p w:rsidR="00000000" w:rsidRPr="00FD0211" w:rsidP="00FD0211">
      <w:pPr>
        <w:pStyle w:val="Heading1"/>
      </w:pPr>
      <w:bookmarkStart w:id="2" w:name="O_929458"/>
      <w:bookmarkEnd w:id="2"/>
      <w:r w:rsidRPr="00FD0211">
        <w:t>Performance Evidence</w:t>
      </w:r>
    </w:p>
    <w:p w:rsidR="00000000" w:rsidRPr="00FD0211" w:rsidP="00FD0211">
      <w:pPr>
        <w:pStyle w:val="BodyText"/>
      </w:pPr>
      <w:r w:rsidRPr="00FD0211">
        <w:t>Evidence required to demonstrate competence in this unit must be relevant to and satisfy th</w:t>
      </w:r>
      <w:r w:rsidRPr="00FD0211">
        <w:t>e requirements of the elements and performance criteria and demonstrate the ability to:</w:t>
      </w:r>
    </w:p>
    <w:p w:rsidR="00000000" w:rsidRPr="00FD0211" w:rsidP="00FD0211">
      <w:pPr>
        <w:pStyle w:val="ListBullet"/>
      </w:pPr>
      <w:r w:rsidRPr="00FD0211">
        <w:t xml:space="preserve">analyse and interpret technical reports, technical specifications and data </w:t>
      </w:r>
    </w:p>
    <w:p w:rsidR="00000000" w:rsidRPr="00FD0211" w:rsidP="00FD0211">
      <w:pPr>
        <w:pStyle w:val="ListBullet"/>
      </w:pPr>
      <w:r w:rsidRPr="00FD0211">
        <w:t>confirm design specifications meet refractory requirements</w:t>
      </w:r>
    </w:p>
    <w:p w:rsidR="00000000" w:rsidRPr="00FD0211" w:rsidP="00FD0211">
      <w:pPr>
        <w:pStyle w:val="ListBullet"/>
      </w:pPr>
      <w:r w:rsidRPr="00FD0211">
        <w:t>determine refractory installatio</w:t>
      </w:r>
      <w:r w:rsidRPr="00FD0211">
        <w:t xml:space="preserve">n process to meet refractory design specifications </w:t>
      </w:r>
    </w:p>
    <w:p w:rsidR="00000000" w:rsidRPr="00FD0211" w:rsidP="00FD0211">
      <w:pPr>
        <w:pStyle w:val="ListBullet"/>
      </w:pPr>
      <w:r w:rsidRPr="00FD0211">
        <w:t xml:space="preserve">plan the installation project </w:t>
      </w:r>
    </w:p>
    <w:p w:rsidR="00000000" w:rsidRPr="00FD0211" w:rsidP="00FD0211">
      <w:pPr>
        <w:pStyle w:val="ListBullet"/>
      </w:pPr>
      <w:r w:rsidRPr="00FD0211">
        <w:t>develop installation specification, including:</w:t>
      </w:r>
    </w:p>
    <w:p w:rsidR="00000000" w:rsidRPr="00FD0211" w:rsidP="00FD0211">
      <w:pPr>
        <w:pStyle w:val="ListBullet2"/>
      </w:pPr>
      <w:r w:rsidRPr="00FD0211">
        <w:t>technical specification</w:t>
      </w:r>
    </w:p>
    <w:p w:rsidR="00000000" w:rsidRPr="00FD0211" w:rsidP="00FD0211">
      <w:pPr>
        <w:pStyle w:val="ListBullet2"/>
      </w:pPr>
      <w:r w:rsidRPr="00FD0211">
        <w:t>hazard controls and residual hazards</w:t>
      </w:r>
    </w:p>
    <w:p w:rsidR="00000000" w:rsidRPr="00FD0211" w:rsidP="00FD0211">
      <w:pPr>
        <w:pStyle w:val="ListBullet2"/>
      </w:pPr>
      <w:r w:rsidRPr="00FD0211">
        <w:t>installation schedule</w:t>
      </w:r>
    </w:p>
    <w:p w:rsidR="00000000" w:rsidRPr="00FD0211" w:rsidP="00FD0211">
      <w:pPr>
        <w:pStyle w:val="ListBullet2"/>
      </w:pPr>
      <w:r w:rsidRPr="00FD0211">
        <w:t xml:space="preserve">measures for monitoring critical items </w:t>
      </w:r>
    </w:p>
    <w:p w:rsidR="00000000" w:rsidRPr="00FD0211" w:rsidP="00FD0211">
      <w:pPr>
        <w:pStyle w:val="ListBullet"/>
      </w:pPr>
      <w:r w:rsidRPr="00FD0211">
        <w:t>monitor the installation conformance to specifications and take action on non-conformances</w:t>
      </w:r>
    </w:p>
    <w:p w:rsidR="00000000" w:rsidRPr="00FD0211" w:rsidP="00FD0211">
      <w:pPr>
        <w:pStyle w:val="ListBullet"/>
      </w:pPr>
      <w:r w:rsidRPr="00FD0211">
        <w:t>complete project documentation and reports</w:t>
      </w:r>
    </w:p>
    <w:p w:rsidR="00000000" w:rsidRPr="00FD0211" w:rsidP="00FD0211">
      <w:pPr>
        <w:pStyle w:val="ListBullet"/>
      </w:pPr>
      <w:r w:rsidRPr="00FD0211">
        <w:t xml:space="preserve">communicate technical information verbally and in writing/drawings </w:t>
      </w:r>
    </w:p>
    <w:p w:rsidR="00000000" w:rsidRPr="00FD0211" w:rsidP="00FD0211">
      <w:pPr>
        <w:pStyle w:val="ListBullet"/>
      </w:pPr>
      <w:r w:rsidRPr="00FD0211">
        <w:t>communicate and negotiate agreements with internal and</w:t>
      </w:r>
      <w:r w:rsidRPr="00FD0211">
        <w:t xml:space="preserve"> external stakeholders, including one or more of:</w:t>
      </w:r>
    </w:p>
    <w:p w:rsidR="00000000" w:rsidRPr="00FD0211" w:rsidP="00FD0211">
      <w:pPr>
        <w:pStyle w:val="ListBullet2"/>
      </w:pPr>
      <w:r w:rsidRPr="00FD0211">
        <w:t>customer representatives</w:t>
      </w:r>
    </w:p>
    <w:p w:rsidR="00000000" w:rsidRPr="00FD0211" w:rsidP="00FD0211">
      <w:pPr>
        <w:pStyle w:val="ListBullet2"/>
      </w:pPr>
      <w:r w:rsidRPr="00FD0211">
        <w:t>technical experts</w:t>
      </w:r>
    </w:p>
    <w:p w:rsidR="00000000" w:rsidRPr="00FD0211" w:rsidP="00FD0211">
      <w:pPr>
        <w:pStyle w:val="ListBullet2"/>
      </w:pPr>
      <w:r w:rsidRPr="00FD0211">
        <w:t>regulators</w:t>
      </w:r>
    </w:p>
    <w:p w:rsidR="00000000" w:rsidRPr="00FD0211" w:rsidP="00FD0211">
      <w:pPr>
        <w:pStyle w:val="ListBullet2"/>
      </w:pPr>
      <w:r w:rsidRPr="00FD0211">
        <w:t>management</w:t>
      </w:r>
    </w:p>
    <w:p w:rsidR="00000000" w:rsidRPr="00FD0211" w:rsidP="00FD0211">
      <w:pPr>
        <w:pStyle w:val="ListBullet2"/>
      </w:pPr>
      <w:r w:rsidRPr="00FD0211">
        <w:t xml:space="preserve">refractory designer </w:t>
      </w:r>
    </w:p>
    <w:p w:rsidR="00000000" w:rsidRPr="00FD0211" w:rsidP="00FD0211">
      <w:pPr>
        <w:pStyle w:val="ListBullet2"/>
      </w:pPr>
      <w:r w:rsidRPr="00FD0211">
        <w:t>refractory installer</w:t>
      </w:r>
    </w:p>
    <w:p w:rsidR="00000000" w:rsidRPr="00FD0211" w:rsidP="00FD0211">
      <w:pPr>
        <w:pStyle w:val="ListBullet"/>
      </w:pPr>
      <w:r w:rsidRPr="00FD0211">
        <w:t>materials and equipment suppliers</w:t>
      </w:r>
    </w:p>
    <w:p w:rsidR="00000000" w:rsidRPr="00FD0211" w:rsidP="00FD0211">
      <w:pPr>
        <w:pStyle w:val="ListBullet"/>
      </w:pPr>
      <w:r w:rsidRPr="00FD0211">
        <w:t>contractors</w:t>
      </w:r>
    </w:p>
    <w:p w:rsidR="00000000" w:rsidRPr="00FD0211" w:rsidP="00FD0211">
      <w:pPr>
        <w:pStyle w:val="ListBullet"/>
      </w:pPr>
      <w:r w:rsidRPr="00FD0211">
        <w:t>apply complex and/or theoretical mathematical calculations, statistics</w:t>
      </w:r>
    </w:p>
    <w:p w:rsidR="00000000" w:rsidRPr="00FD0211" w:rsidP="00FD0211">
      <w:pPr>
        <w:pStyle w:val="ListBullet"/>
      </w:pPr>
      <w:r w:rsidRPr="00FD0211">
        <w:t xml:space="preserve">solve complex problems within or arising from the refractory design and/or installation.  </w:t>
      </w:r>
    </w:p>
    <w:p w:rsidR="00000000" w:rsidRPr="00FD0211" w:rsidP="00FD0211">
      <w:pPr>
        <w:pStyle w:val="AllowPageBreak"/>
      </w:pPr>
    </w:p>
    <w:p w:rsidR="00000000" w:rsidRPr="00FD0211" w:rsidP="00FD0211">
      <w:pPr>
        <w:pStyle w:val="Heading1"/>
      </w:pPr>
      <w:bookmarkStart w:id="3" w:name="O_929457"/>
      <w:bookmarkEnd w:id="3"/>
      <w:r w:rsidRPr="00FD0211">
        <w:t>Knowledge Evidence</w:t>
      </w:r>
    </w:p>
    <w:p w:rsidR="00000000" w:rsidRPr="00FD0211" w:rsidP="00FD0211">
      <w:pPr>
        <w:pStyle w:val="BodyText"/>
      </w:pPr>
      <w:r w:rsidRPr="00FD0211">
        <w:t>Must provide evidence that demonstrates knowledge relevant</w:t>
      </w:r>
      <w:r w:rsidRPr="00FD0211">
        <w:t xml:space="preserve"> to their job sufficient to fulfil their job role, including knowledge of:</w:t>
      </w:r>
    </w:p>
    <w:p w:rsidR="00000000" w:rsidRPr="00FD0211" w:rsidP="00FD0211">
      <w:pPr>
        <w:pStyle w:val="ListBullet"/>
      </w:pPr>
      <w:r w:rsidRPr="00FD0211">
        <w:t>properties of all common refractory materials, including:</w:t>
      </w:r>
    </w:p>
    <w:p w:rsidR="00000000" w:rsidRPr="00FD0211" w:rsidP="00FD0211">
      <w:pPr>
        <w:pStyle w:val="ListBullet2"/>
      </w:pPr>
      <w:r w:rsidRPr="00FD0211">
        <w:t>cementitious refractories</w:t>
      </w:r>
    </w:p>
    <w:p w:rsidR="00000000" w:rsidRPr="00FD0211" w:rsidP="00FD0211">
      <w:pPr>
        <w:pStyle w:val="ListBullet2"/>
      </w:pPr>
      <w:r w:rsidRPr="00FD0211">
        <w:t>plastic clay refractories</w:t>
      </w:r>
    </w:p>
    <w:p w:rsidR="00000000" w:rsidRPr="00FD0211" w:rsidP="00FD0211">
      <w:pPr>
        <w:pStyle w:val="ListBullet2"/>
      </w:pPr>
      <w:r w:rsidRPr="00FD0211">
        <w:t>other refractories</w:t>
      </w:r>
    </w:p>
    <w:p w:rsidR="00000000" w:rsidRPr="00FD0211" w:rsidP="00FD0211">
      <w:pPr>
        <w:pStyle w:val="ListBullet2"/>
      </w:pPr>
      <w:r w:rsidRPr="00FD0211">
        <w:t>fibre or fibre reinforced refractories (e.g. ceram</w:t>
      </w:r>
      <w:r w:rsidRPr="00FD0211">
        <w:t>ic fibre and steel fibre)</w:t>
      </w:r>
    </w:p>
    <w:p w:rsidR="00000000" w:rsidRPr="00FD0211" w:rsidP="00FD0211">
      <w:pPr>
        <w:pStyle w:val="ListBullet"/>
      </w:pPr>
      <w:r w:rsidRPr="00FD0211">
        <w:t>application and principles of installation methods, including:</w:t>
      </w:r>
    </w:p>
    <w:p w:rsidR="00000000" w:rsidRPr="00FD0211" w:rsidP="00FD0211">
      <w:pPr>
        <w:pStyle w:val="ListBullet2"/>
      </w:pPr>
      <w:r w:rsidRPr="00FD0211">
        <w:t>casting</w:t>
      </w:r>
    </w:p>
    <w:p w:rsidR="00000000" w:rsidRPr="00FD0211" w:rsidP="00FD0211">
      <w:pPr>
        <w:pStyle w:val="ListBullet2"/>
      </w:pPr>
      <w:r w:rsidRPr="00FD0211">
        <w:t>moulding of plastic refractory</w:t>
      </w:r>
    </w:p>
    <w:p w:rsidR="00000000" w:rsidRPr="00FD0211" w:rsidP="00FD0211">
      <w:pPr>
        <w:pStyle w:val="ListBullet2"/>
      </w:pPr>
      <w:r w:rsidRPr="00FD0211">
        <w:t>gunning (shotcrete, gunite and gunned plastic refractory)</w:t>
      </w:r>
    </w:p>
    <w:p w:rsidR="00000000" w:rsidRPr="00FD0211" w:rsidP="00FD0211">
      <w:pPr>
        <w:pStyle w:val="ListBullet"/>
      </w:pPr>
      <w:r w:rsidRPr="00FD0211">
        <w:t>application and limitations of anchors and anchoring systems, including:</w:t>
      </w:r>
    </w:p>
    <w:p w:rsidR="00000000" w:rsidRPr="00FD0211" w:rsidP="00FD0211">
      <w:pPr>
        <w:pStyle w:val="ListBullet2"/>
      </w:pPr>
      <w:r w:rsidRPr="00FD0211">
        <w:t>metal crook</w:t>
      </w:r>
    </w:p>
    <w:p w:rsidR="00000000" w:rsidRPr="00FD0211" w:rsidP="00FD0211">
      <w:pPr>
        <w:pStyle w:val="ListBullet2"/>
      </w:pPr>
      <w:r w:rsidRPr="00FD0211">
        <w:t>metal Y</w:t>
      </w:r>
    </w:p>
    <w:p w:rsidR="00000000" w:rsidRPr="00FD0211" w:rsidP="00FD0211">
      <w:pPr>
        <w:pStyle w:val="ListBullet2"/>
      </w:pPr>
      <w:r w:rsidRPr="00FD0211">
        <w:t>cast iron</w:t>
      </w:r>
    </w:p>
    <w:p w:rsidR="00000000" w:rsidRPr="00FD0211" w:rsidP="00FD0211">
      <w:pPr>
        <w:pStyle w:val="ListBullet2"/>
      </w:pPr>
      <w:r w:rsidRPr="00FD0211">
        <w:t>ceramic</w:t>
      </w:r>
    </w:p>
    <w:p w:rsidR="00000000" w:rsidRPr="00FD0211" w:rsidP="00FD0211">
      <w:pPr>
        <w:pStyle w:val="ListBullet2"/>
      </w:pPr>
      <w:r w:rsidRPr="00FD0211">
        <w:t>precast cones</w:t>
      </w:r>
    </w:p>
    <w:p w:rsidR="00000000" w:rsidRPr="00FD0211" w:rsidP="00FD0211">
      <w:pPr>
        <w:pStyle w:val="ListBullet2"/>
      </w:pPr>
      <w:r w:rsidRPr="00FD0211">
        <w:t>hexmetal</w:t>
      </w:r>
    </w:p>
    <w:p w:rsidR="00000000" w:rsidRPr="00FD0211" w:rsidP="00FD0211">
      <w:pPr>
        <w:pStyle w:val="ListBullet"/>
      </w:pPr>
      <w:r w:rsidRPr="00FD0211">
        <w:t>application and limitations of installation equipment, including:</w:t>
      </w:r>
    </w:p>
    <w:p w:rsidR="00000000" w:rsidRPr="00FD0211" w:rsidP="00FD0211">
      <w:pPr>
        <w:pStyle w:val="ListBullet2"/>
      </w:pPr>
      <w:r w:rsidRPr="00FD0211">
        <w:t>rams</w:t>
      </w:r>
    </w:p>
    <w:p w:rsidR="00000000" w:rsidRPr="00FD0211" w:rsidP="00FD0211">
      <w:pPr>
        <w:pStyle w:val="ListBullet2"/>
      </w:pPr>
      <w:r w:rsidRPr="00FD0211">
        <w:t xml:space="preserve">vibrators </w:t>
      </w:r>
    </w:p>
    <w:p w:rsidR="00000000" w:rsidRPr="00FD0211" w:rsidP="00FD0211">
      <w:pPr>
        <w:pStyle w:val="ListBullet2"/>
      </w:pPr>
      <w:r w:rsidRPr="00FD0211">
        <w:t>compactors</w:t>
      </w:r>
    </w:p>
    <w:p w:rsidR="00000000" w:rsidRPr="00FD0211" w:rsidP="00FD0211">
      <w:pPr>
        <w:pStyle w:val="ListBullet2"/>
      </w:pPr>
      <w:r w:rsidRPr="00FD0211">
        <w:t>gunning systems</w:t>
      </w:r>
    </w:p>
    <w:p w:rsidR="00000000" w:rsidRPr="00FD0211" w:rsidP="00FD0211">
      <w:pPr>
        <w:pStyle w:val="ListBullet"/>
      </w:pPr>
      <w:r w:rsidRPr="00FD0211">
        <w:t>applicati</w:t>
      </w:r>
      <w:r w:rsidRPr="00FD0211">
        <w:t>on and limitations of post placement requirements for different refractory systems, including:</w:t>
      </w:r>
    </w:p>
    <w:p w:rsidR="00000000" w:rsidRPr="00FD0211" w:rsidP="00FD0211">
      <w:pPr>
        <w:pStyle w:val="ListBullet2"/>
      </w:pPr>
      <w:r w:rsidRPr="00FD0211">
        <w:t>drying</w:t>
      </w:r>
    </w:p>
    <w:p w:rsidR="00000000" w:rsidRPr="00FD0211" w:rsidP="00FD0211">
      <w:pPr>
        <w:pStyle w:val="ListBullet2"/>
      </w:pPr>
      <w:r w:rsidRPr="00FD0211">
        <w:t>curing</w:t>
      </w:r>
    </w:p>
    <w:p w:rsidR="00000000" w:rsidRPr="00FD0211" w:rsidP="00FD0211">
      <w:pPr>
        <w:pStyle w:val="ListBullet2"/>
      </w:pPr>
      <w:r w:rsidRPr="00FD0211">
        <w:t>control of moisture and or temperature</w:t>
      </w:r>
    </w:p>
    <w:p w:rsidR="00000000" w:rsidRPr="00FD0211" w:rsidP="00FD0211">
      <w:pPr>
        <w:pStyle w:val="ListBullet2"/>
      </w:pPr>
      <w:r w:rsidRPr="00FD0211">
        <w:t>striking of formwork</w:t>
      </w:r>
    </w:p>
    <w:p w:rsidR="00000000" w:rsidRPr="00FD0211" w:rsidP="00FD0211">
      <w:pPr>
        <w:pStyle w:val="ListBullet2"/>
      </w:pPr>
      <w:r w:rsidRPr="00FD0211">
        <w:t>removal of scaffolding or other access/egress provisions</w:t>
      </w:r>
    </w:p>
    <w:p w:rsidR="00000000" w:rsidRPr="00FD0211" w:rsidP="00FD0211">
      <w:pPr>
        <w:pStyle w:val="ListBullet"/>
      </w:pPr>
      <w:r w:rsidRPr="00FD0211">
        <w:t>formwork design and construction</w:t>
      </w:r>
    </w:p>
    <w:p w:rsidR="00000000" w:rsidRPr="00FD0211" w:rsidP="00FD0211">
      <w:pPr>
        <w:pStyle w:val="ListBullet"/>
      </w:pPr>
      <w:r w:rsidRPr="00FD0211">
        <w:t>scaffolding design and construction</w:t>
      </w:r>
    </w:p>
    <w:p w:rsidR="00000000" w:rsidRPr="00FD0211" w:rsidP="00FD0211">
      <w:pPr>
        <w:pStyle w:val="ListBullet"/>
      </w:pPr>
      <w:r w:rsidRPr="00FD0211">
        <w:t xml:space="preserve">calculations relevant to specifications </w:t>
      </w:r>
    </w:p>
    <w:p w:rsidR="00000000" w:rsidRPr="00FD0211" w:rsidP="00FD0211">
      <w:pPr>
        <w:pStyle w:val="ListBullet"/>
      </w:pPr>
      <w:r w:rsidRPr="00FD0211">
        <w:t xml:space="preserve">project planning and management </w:t>
      </w:r>
    </w:p>
    <w:p w:rsidR="00000000" w:rsidRPr="00FD0211" w:rsidP="00FD0211">
      <w:pPr>
        <w:pStyle w:val="ListBullet"/>
      </w:pPr>
      <w:r w:rsidRPr="00FD0211">
        <w:t>regulatory framework</w:t>
      </w:r>
    </w:p>
    <w:p w:rsidR="00000000" w:rsidRPr="00FD0211" w:rsidP="00FD0211">
      <w:pPr>
        <w:pStyle w:val="ListBullet"/>
      </w:pPr>
      <w:r w:rsidRPr="00FD0211">
        <w:t>hierarchy of control</w:t>
      </w:r>
    </w:p>
    <w:p w:rsidR="00000000" w:rsidRPr="00FD0211" w:rsidP="00FD0211">
      <w:pPr>
        <w:pStyle w:val="ListBullet"/>
      </w:pPr>
      <w:r w:rsidRPr="00FD0211">
        <w:t>hazards that may arise in the job/work environment and:</w:t>
      </w:r>
    </w:p>
    <w:p w:rsidR="00000000" w:rsidRPr="00FD0211" w:rsidP="00FD0211">
      <w:pPr>
        <w:pStyle w:val="ListBullet2"/>
      </w:pPr>
      <w:r w:rsidRPr="00FD0211">
        <w:t>their possible</w:t>
      </w:r>
      <w:r w:rsidRPr="00FD0211">
        <w:t xml:space="preserve"> causes </w:t>
      </w:r>
    </w:p>
    <w:p w:rsidR="00000000" w:rsidRPr="00FD0211" w:rsidP="00FD0211">
      <w:pPr>
        <w:pStyle w:val="ListBullet2"/>
      </w:pPr>
      <w:r w:rsidRPr="00FD0211">
        <w:t>potential consequences</w:t>
      </w:r>
    </w:p>
    <w:p w:rsidR="00000000" w:rsidRPr="00FD0211" w:rsidP="00FD0211">
      <w:pPr>
        <w:pStyle w:val="ListBullet2"/>
      </w:pPr>
      <w:r w:rsidRPr="00FD0211">
        <w:t>appropriate risk controls.</w:t>
      </w:r>
    </w:p>
    <w:p w:rsidR="00000000" w:rsidRPr="00FD0211" w:rsidP="00FD0211">
      <w:pPr>
        <w:pStyle w:val="AllowPageBreak"/>
      </w:pPr>
    </w:p>
    <w:p w:rsidR="00000000" w:rsidRPr="00FD0211" w:rsidP="00FD0211">
      <w:pPr>
        <w:pStyle w:val="Heading1"/>
      </w:pPr>
      <w:bookmarkStart w:id="4" w:name="O_929456"/>
      <w:bookmarkEnd w:id="4"/>
      <w:r w:rsidRPr="00FD0211">
        <w:t>Assessment Conditions</w:t>
      </w:r>
    </w:p>
    <w:p w:rsidR="00000000" w:rsidRPr="00FD0211" w:rsidP="00FD0211">
      <w:pPr>
        <w:pStyle w:val="ListBullet"/>
      </w:pPr>
      <w:r w:rsidRPr="00FD0211">
        <w:t>The unit should be assessed holistically and the judgement of competence shall be based on a holistic assessment of the evidence.</w:t>
      </w:r>
    </w:p>
    <w:p w:rsidR="00000000" w:rsidRPr="00FD0211" w:rsidP="00FD0211">
      <w:pPr>
        <w:pStyle w:val="ListBullet"/>
      </w:pPr>
      <w:r w:rsidRPr="00FD0211">
        <w:t>The collection of performance evidence is best done from a report and/or folio of evidence drawn from:</w:t>
      </w:r>
    </w:p>
    <w:p w:rsidR="00000000" w:rsidRPr="00FD0211" w:rsidP="00FD0211">
      <w:pPr>
        <w:pStyle w:val="ListBullet2"/>
      </w:pPr>
      <w:r w:rsidRPr="00FD0211">
        <w:t>a single project which provides sufficient evidence of the requirements of all the elements and performance criteria</w:t>
      </w:r>
    </w:p>
    <w:p w:rsidR="00000000" w:rsidRPr="00FD0211" w:rsidP="00FD0211">
      <w:pPr>
        <w:pStyle w:val="ListBullet2"/>
      </w:pPr>
      <w:r w:rsidRPr="00FD0211">
        <w:t>multiple smaller projects which tog</w:t>
      </w:r>
      <w:r w:rsidRPr="00FD0211">
        <w:t>ether provide sufficient evidence of the requirements of all the elements and performance criteria.</w:t>
      </w:r>
    </w:p>
    <w:p w:rsidR="00000000" w:rsidRPr="00FD0211" w:rsidP="00FD0211">
      <w:pPr>
        <w:pStyle w:val="ListBullet"/>
      </w:pPr>
      <w:r w:rsidRPr="00FD0211">
        <w:t>A third-party report, or similar, may be needed to testify to the work done by the individual, particularly when the project has been done as part of a pro</w:t>
      </w:r>
      <w:r w:rsidRPr="00FD0211">
        <w:t>ject team.</w:t>
      </w:r>
    </w:p>
    <w:p w:rsidR="00000000" w:rsidRPr="00FD0211" w:rsidP="00FD0211">
      <w:pPr>
        <w:pStyle w:val="ListBullet"/>
      </w:pPr>
      <w:r w:rsidRPr="00FD0211">
        <w:t>Assessment should use a real project in an operational workplace. Where this is not possible or where personal safety or environmental damage are limiting factors assessment must occur using a sufficiently rigorous simulated environment that ref</w:t>
      </w:r>
      <w:r w:rsidRPr="00FD0211">
        <w:t xml:space="preserve">lects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FD0211" w:rsidP="00FD0211">
      <w:pPr>
        <w:pStyle w:val="ListBullet"/>
      </w:pPr>
      <w:r w:rsidRPr="00FD0211">
        <w:t>Assessment in a simulated en</w:t>
      </w:r>
      <w:r w:rsidRPr="00FD0211">
        <w:t xml:space="preserve">vironment should use evidence collected from demonstration of skills and one or more of: </w:t>
      </w:r>
    </w:p>
    <w:p w:rsidR="00000000" w:rsidRPr="00FD0211" w:rsidP="00FD0211">
      <w:pPr>
        <w:pStyle w:val="ListBullet2"/>
      </w:pPr>
      <w:r w:rsidRPr="00FD0211">
        <w:t>walk-throughs</w:t>
      </w:r>
    </w:p>
    <w:p w:rsidR="00000000" w:rsidRPr="00FD0211" w:rsidP="00FD0211">
      <w:pPr>
        <w:pStyle w:val="ListBullet2"/>
      </w:pPr>
      <w:r w:rsidRPr="00FD0211">
        <w:t>pilot plant operation</w:t>
      </w:r>
    </w:p>
    <w:p w:rsidR="00000000" w:rsidRPr="00FD0211" w:rsidP="00FD0211">
      <w:pPr>
        <w:pStyle w:val="ListBullet2"/>
      </w:pPr>
      <w:r w:rsidRPr="00FD0211">
        <w:t xml:space="preserve">industry-based case studies/scenarios </w:t>
      </w:r>
    </w:p>
    <w:p w:rsidR="00000000" w:rsidRPr="00FD0211" w:rsidP="00FD0211">
      <w:pPr>
        <w:pStyle w:val="ListBullet2"/>
      </w:pPr>
      <w:r w:rsidRPr="00FD0211">
        <w:t>‘what ifs’.</w:t>
      </w:r>
    </w:p>
    <w:p w:rsidR="00000000" w:rsidRPr="00FD0211" w:rsidP="00FD0211">
      <w:pPr>
        <w:pStyle w:val="ListBullet"/>
      </w:pPr>
      <w:r w:rsidRPr="00FD0211">
        <w:t>Knowledge evidence may be collected concurrently with performance evidence or through an independent process, such as workbooks, written assessments or interviews.</w:t>
      </w:r>
    </w:p>
    <w:p w:rsidR="00000000" w:rsidRPr="00FD0211" w:rsidP="00FD0211">
      <w:pPr>
        <w:pStyle w:val="ListBullet"/>
      </w:pPr>
      <w:r w:rsidRPr="00FD0211">
        <w:t>Assessment processes and techniques must be appropriate to the language, literacy and numera</w:t>
      </w:r>
      <w:r w:rsidRPr="00FD0211">
        <w:t>cy requirements of the work being performed and the needs of the candidate.</w:t>
      </w:r>
    </w:p>
    <w:p w:rsidR="00000000" w:rsidRPr="00FD0211" w:rsidP="00FD0211">
      <w:pPr>
        <w:pStyle w:val="ListBullet"/>
      </w:pPr>
      <w:r w:rsidRPr="00FD0211">
        <w:t>Conditions for assessment must include access to all tools, equipment, materials and documentation required, including relevant workplace procedures, product and manufacturing spec</w:t>
      </w:r>
      <w:r w:rsidRPr="00FD0211">
        <w:t>ifications associated with this unit.</w:t>
      </w:r>
    </w:p>
    <w:p w:rsidR="00000000" w:rsidRPr="00FD0211" w:rsidP="00FD0211">
      <w:pPr>
        <w:pStyle w:val="ListBullet"/>
      </w:pPr>
      <w:r w:rsidRPr="00FD0211">
        <w:t>The regulatory framework will be reflected in workplace policies and procedures and is not required to be independently assessed.</w:t>
      </w:r>
    </w:p>
    <w:p w:rsidR="00000000" w:rsidRPr="00FD0211" w:rsidP="00FD0211">
      <w:pPr>
        <w:pStyle w:val="ListBullet"/>
      </w:pPr>
      <w:r w:rsidRPr="00FD0211">
        <w:t>Foundation skills are integral to competent performance of the unit and should not be as</w:t>
      </w:r>
      <w:r w:rsidRPr="00FD0211">
        <w:t>sessed separately.</w:t>
      </w:r>
    </w:p>
    <w:p w:rsidR="00000000" w:rsidRPr="00FD0211" w:rsidP="00FD0211">
      <w:pPr>
        <w:pStyle w:val="ListBullet"/>
      </w:pPr>
      <w:r w:rsidRPr="00FD0211">
        <w:t>Assessors must satisfy the assessor competency requirements that are in place at the time of the assessment as set by the VET regulator.</w:t>
      </w:r>
    </w:p>
    <w:p w:rsidR="00000000" w:rsidRPr="00FD0211" w:rsidP="00FD0211">
      <w:pPr>
        <w:pStyle w:val="ListBullet"/>
      </w:pPr>
      <w:r w:rsidRPr="00FD0211">
        <w:t>In addition the assessor or anyone acting in subject matter expert role in assessment shall demonstr</w:t>
      </w:r>
      <w:r w:rsidRPr="00FD0211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FD0211" w:rsidP="00FD0211">
      <w:pPr>
        <w:pStyle w:val="ListBullet"/>
      </w:pPr>
      <w:r w:rsidRPr="00FD0211">
        <w:t xml:space="preserve">Technical competence can be demonstrated through one or more </w:t>
      </w:r>
      <w:r w:rsidRPr="00FD0211">
        <w:t>of:</w:t>
      </w:r>
    </w:p>
    <w:p w:rsidR="00000000" w:rsidRPr="00FD0211" w:rsidP="00FD0211">
      <w:pPr>
        <w:pStyle w:val="ListBullet2"/>
      </w:pPr>
      <w:r w:rsidRPr="00FD0211">
        <w:t xml:space="preserve">relevant VET or other qualification/Statement of Attainment </w:t>
      </w:r>
    </w:p>
    <w:p w:rsidR="00000000" w:rsidRPr="00FD0211" w:rsidP="00FD0211">
      <w:pPr>
        <w:pStyle w:val="ListBullet2"/>
      </w:pPr>
      <w:r w:rsidRPr="00FD0211">
        <w:t xml:space="preserve">appropriate workplace experience undertaking the type of work being assessed under routine and non-routine conditions </w:t>
      </w:r>
    </w:p>
    <w:p w:rsidR="00000000" w:rsidRPr="00FD0211" w:rsidP="00FD0211">
      <w:pPr>
        <w:pStyle w:val="ListBullet2"/>
      </w:pPr>
      <w:r w:rsidRPr="00FD0211">
        <w:t>appropriate workplace experience supervising/evaluating the type of wor</w:t>
      </w:r>
      <w:r w:rsidRPr="00FD0211">
        <w:t>k being assessed under routine and non-routine conditions</w:t>
      </w:r>
    </w:p>
    <w:p w:rsidR="00000000" w:rsidRPr="00FD0211" w:rsidP="00FD0211">
      <w:pPr>
        <w:pStyle w:val="ListBullet"/>
      </w:pPr>
      <w:r w:rsidRPr="00FD0211">
        <w:t>Currency can be demonstrated through one or more of:</w:t>
      </w:r>
    </w:p>
    <w:p w:rsidR="00000000" w:rsidRPr="00FD0211" w:rsidP="00FD0211">
      <w:pPr>
        <w:pStyle w:val="ListBullet2"/>
      </w:pPr>
      <w:r w:rsidRPr="00FD0211">
        <w:t xml:space="preserve">being currently employed undertaking the type of work being assessed </w:t>
      </w:r>
    </w:p>
    <w:p w:rsidR="00000000" w:rsidRPr="00FD0211" w:rsidP="00FD0211">
      <w:pPr>
        <w:pStyle w:val="ListBullet2"/>
      </w:pPr>
      <w:r w:rsidRPr="00FD0211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FD0211" w:rsidP="00FD0211">
      <w:pPr>
        <w:pStyle w:val="ListBullet2"/>
      </w:pPr>
      <w:r w:rsidRPr="00FD0211">
        <w:t>having consulted/had contact with an organisation undertaking the type of work bei</w:t>
      </w:r>
      <w:r w:rsidRPr="00FD0211">
        <w:t xml:space="preserve">ng assessed within the last twelve months, the consultation/contact being related to assessment </w:t>
      </w:r>
    </w:p>
    <w:p w:rsidR="00000000" w:rsidRPr="00FD0211" w:rsidP="00FD0211">
      <w:pPr>
        <w:pStyle w:val="ListBullet2"/>
      </w:pPr>
      <w:r w:rsidRPr="00FD0211">
        <w:t xml:space="preserve">conducting on the job training/assessments of the type of work being assessed </w:t>
      </w:r>
    </w:p>
    <w:p w:rsidR="00000000" w:rsidRPr="00FD0211" w:rsidP="00FD0211">
      <w:pPr>
        <w:pStyle w:val="ListBullet2"/>
      </w:pPr>
      <w:r w:rsidRPr="00FD0211">
        <w:t>being an active member of a relevant professional body and participating in acti</w:t>
      </w:r>
      <w:r w:rsidRPr="00FD0211">
        <w:t>vities relevant to the assessment of this type of work.</w:t>
      </w:r>
    </w:p>
    <w:p w:rsidR="00000000" w:rsidRPr="00FD0211" w:rsidP="00FD0211">
      <w:pPr>
        <w:pStyle w:val="AllowPageBreak"/>
      </w:pPr>
    </w:p>
    <w:p w:rsidR="00000000" w:rsidRPr="00FD0211" w:rsidP="00FD0211">
      <w:pPr>
        <w:pStyle w:val="Heading1"/>
      </w:pPr>
      <w:bookmarkStart w:id="5" w:name="O_929454"/>
      <w:bookmarkEnd w:id="5"/>
      <w:r w:rsidRPr="00FD0211">
        <w:t>Links</w:t>
      </w:r>
    </w:p>
    <w:p w:rsidR="00000000" w:rsidRPr="00FD0211" w:rsidP="00FD0211">
      <w:pPr>
        <w:pStyle w:val="BodyText"/>
      </w:pPr>
      <w:r w:rsidRPr="00FD0211">
        <w:t>MSA Training Package Implementation Guides - http://mskills.org.au/training-packages/info/</w:t>
      </w:r>
    </w:p>
    <w:p w:rsidR="00000000" w:rsidRPr="00FD0211" w:rsidP="00FD0211"/>
    <w:sectPr w:rsidSect="00FD02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11" w:rsidRPr="00531F3F" w:rsidP="00531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3F" w:rsidP="00FD0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F3F" w:rsidP="00FD0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31F3F" w:rsidP="00FD0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11" w:rsidRPr="00531F3F" w:rsidP="00531F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3F" w:rsidRPr="002D2AF8" w:rsidP="00FD0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PMC557095 Specify and monitor the installation of monolithic/castable refractories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31F3F" w:rsidP="00FD0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D82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E2C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8AC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211"/>
  </w:style>
  <w:style w:type="character" w:customStyle="1" w:styleId="Heading1Char">
    <w:name w:val="Heading 1 Char"/>
    <w:basedOn w:val="DefaultParagraphFont"/>
    <w:link w:val="Heading1"/>
    <w:rsid w:val="00FD0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2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21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02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0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0211"/>
    <w:rPr>
      <w:b/>
      <w:spacing w:val="0"/>
    </w:rPr>
  </w:style>
  <w:style w:type="paragraph" w:customStyle="1" w:styleId="SuperTitle">
    <w:name w:val="SuperTitle"/>
    <w:basedOn w:val="Title"/>
    <w:rsid w:val="00FD0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2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211"/>
    <w:rPr>
      <w:i/>
    </w:rPr>
  </w:style>
  <w:style w:type="paragraph" w:styleId="Caption">
    <w:name w:val="caption"/>
    <w:basedOn w:val="BodyText"/>
    <w:next w:val="Normal"/>
    <w:qFormat/>
    <w:rsid w:val="00FD0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211"/>
  </w:style>
  <w:style w:type="paragraph" w:styleId="TableofFigures">
    <w:name w:val="table of figures"/>
    <w:basedOn w:val="Normal"/>
    <w:next w:val="Normal"/>
    <w:semiHidden/>
    <w:rsid w:val="00FD0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211"/>
    <w:pPr>
      <w:numPr>
        <w:numId w:val="11"/>
      </w:numPr>
    </w:pPr>
  </w:style>
  <w:style w:type="character" w:customStyle="1" w:styleId="WingdingSymbols">
    <w:name w:val="Wingding Symbols"/>
    <w:rsid w:val="00FD0211"/>
    <w:rPr>
      <w:rFonts w:ascii="Wingdings" w:hAnsi="Wingdings"/>
    </w:rPr>
  </w:style>
  <w:style w:type="paragraph" w:customStyle="1" w:styleId="TableHeading">
    <w:name w:val="Table Heading"/>
    <w:basedOn w:val="HeadingBase"/>
    <w:rsid w:val="00FD0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211"/>
    <w:rPr>
      <w:color w:val="0033CC"/>
      <w:u w:val="none"/>
    </w:rPr>
  </w:style>
  <w:style w:type="paragraph" w:customStyle="1" w:styleId="BodyTextRight">
    <w:name w:val="Body Text Right"/>
    <w:basedOn w:val="BodyText"/>
    <w:rsid w:val="00FD0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2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211"/>
    <w:rPr>
      <w:sz w:val="32"/>
    </w:rPr>
  </w:style>
  <w:style w:type="paragraph" w:customStyle="1" w:styleId="HeadingProcedure">
    <w:name w:val="Heading Procedure"/>
    <w:basedOn w:val="HeadingBase"/>
    <w:next w:val="Normal"/>
    <w:rsid w:val="00FD0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211"/>
    <w:pPr>
      <w:spacing w:before="60" w:after="60"/>
    </w:pPr>
  </w:style>
  <w:style w:type="paragraph" w:styleId="ListContinue">
    <w:name w:val="List Continue"/>
    <w:basedOn w:val="List"/>
    <w:rsid w:val="00FD0211"/>
    <w:pPr>
      <w:ind w:firstLine="0"/>
    </w:pPr>
  </w:style>
  <w:style w:type="paragraph" w:customStyle="1" w:styleId="ListNote">
    <w:name w:val="List Note"/>
    <w:basedOn w:val="List"/>
    <w:rsid w:val="00FD0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211"/>
    <w:rPr>
      <w:rFonts w:ascii="Courier New" w:hAnsi="Courier New"/>
    </w:rPr>
  </w:style>
  <w:style w:type="paragraph" w:customStyle="1" w:styleId="NoteBullet">
    <w:name w:val="Note Bullet"/>
    <w:basedOn w:val="Note"/>
    <w:rsid w:val="00FD0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2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0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211"/>
    <w:rPr>
      <w:b/>
      <w:smallCaps/>
    </w:rPr>
  </w:style>
  <w:style w:type="paragraph" w:customStyle="1" w:styleId="TableListNumber">
    <w:name w:val="Table List Number"/>
    <w:basedOn w:val="ListNumber"/>
    <w:rsid w:val="00FD0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211"/>
    <w:pPr>
      <w:numPr>
        <w:numId w:val="9"/>
      </w:numPr>
    </w:pPr>
  </w:style>
  <w:style w:type="paragraph" w:customStyle="1" w:styleId="ListAlpha2">
    <w:name w:val="List Alpha 2"/>
    <w:basedOn w:val="List2"/>
    <w:rsid w:val="00FD0211"/>
    <w:pPr>
      <w:numPr>
        <w:numId w:val="8"/>
      </w:numPr>
    </w:pPr>
  </w:style>
  <w:style w:type="paragraph" w:styleId="List2">
    <w:name w:val="List 2"/>
    <w:basedOn w:val="BodyText"/>
    <w:rsid w:val="00FD0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21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2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211"/>
    <w:pPr>
      <w:numPr>
        <w:numId w:val="4"/>
      </w:numPr>
    </w:pPr>
  </w:style>
  <w:style w:type="paragraph" w:styleId="ListContinue2">
    <w:name w:val="List Continue 2"/>
    <w:basedOn w:val="List2"/>
    <w:rsid w:val="00FD0211"/>
    <w:pPr>
      <w:ind w:firstLine="0"/>
    </w:pPr>
  </w:style>
  <w:style w:type="paragraph" w:styleId="ListContinue3">
    <w:name w:val="List Continue 3"/>
    <w:basedOn w:val="List3"/>
    <w:rsid w:val="00FD0211"/>
    <w:pPr>
      <w:ind w:left="1021" w:firstLine="0"/>
    </w:pPr>
  </w:style>
  <w:style w:type="paragraph" w:styleId="ListContinue4">
    <w:name w:val="List Continue 4"/>
    <w:basedOn w:val="List4"/>
    <w:rsid w:val="00FD0211"/>
    <w:pPr>
      <w:ind w:firstLine="0"/>
    </w:pPr>
  </w:style>
  <w:style w:type="paragraph" w:styleId="ListContinue5">
    <w:name w:val="List Continue 5"/>
    <w:basedOn w:val="List5"/>
    <w:rsid w:val="00FD0211"/>
    <w:pPr>
      <w:ind w:firstLine="0"/>
    </w:pPr>
  </w:style>
  <w:style w:type="paragraph" w:styleId="ListNumber3">
    <w:name w:val="List Number 3"/>
    <w:basedOn w:val="List3"/>
    <w:rsid w:val="00FD0211"/>
    <w:pPr>
      <w:numPr>
        <w:numId w:val="5"/>
      </w:numPr>
    </w:pPr>
  </w:style>
  <w:style w:type="paragraph" w:styleId="ListNumber4">
    <w:name w:val="List Number 4"/>
    <w:basedOn w:val="List4"/>
    <w:rsid w:val="00FD0211"/>
    <w:pPr>
      <w:numPr>
        <w:numId w:val="6"/>
      </w:numPr>
    </w:pPr>
  </w:style>
  <w:style w:type="paragraph" w:styleId="ListNumber5">
    <w:name w:val="List Number 5"/>
    <w:basedOn w:val="List5"/>
    <w:rsid w:val="00FD0211"/>
    <w:pPr>
      <w:numPr>
        <w:numId w:val="7"/>
      </w:numPr>
    </w:pPr>
  </w:style>
  <w:style w:type="paragraph" w:styleId="BlockText">
    <w:name w:val="Block Text"/>
    <w:basedOn w:val="Normal"/>
    <w:rsid w:val="00FD0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211"/>
    <w:rPr>
      <w:sz w:val="16"/>
      <w:vertAlign w:val="superscript"/>
    </w:rPr>
  </w:style>
  <w:style w:type="character" w:customStyle="1" w:styleId="Symbols">
    <w:name w:val="Symbols"/>
    <w:basedOn w:val="DefaultParagraphFont"/>
    <w:rsid w:val="00FD0211"/>
    <w:rPr>
      <w:rFonts w:ascii="Symbol" w:hAnsi="Symbol"/>
    </w:rPr>
  </w:style>
  <w:style w:type="character" w:customStyle="1" w:styleId="MenuOptions">
    <w:name w:val="Menu Options"/>
    <w:basedOn w:val="DefaultParagraphFont"/>
    <w:rsid w:val="00FD0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211"/>
    <w:rPr>
      <w:b/>
    </w:rPr>
  </w:style>
  <w:style w:type="character" w:customStyle="1" w:styleId="Underlined">
    <w:name w:val="Underlined"/>
    <w:basedOn w:val="DefaultParagraphFont"/>
    <w:rsid w:val="00FD0211"/>
    <w:rPr>
      <w:u w:val="single"/>
    </w:rPr>
  </w:style>
  <w:style w:type="paragraph" w:customStyle="1" w:styleId="TableBodyTextRight">
    <w:name w:val="Table Body Text Right"/>
    <w:basedOn w:val="TableBodyText"/>
    <w:rsid w:val="00FD0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211"/>
    <w:rPr>
      <w:sz w:val="18"/>
    </w:rPr>
  </w:style>
  <w:style w:type="paragraph" w:customStyle="1" w:styleId="BodySmallRight">
    <w:name w:val="Body Small Right"/>
    <w:basedOn w:val="BodyTextRight"/>
    <w:rsid w:val="00FD0211"/>
    <w:rPr>
      <w:sz w:val="18"/>
      <w:szCs w:val="18"/>
    </w:rPr>
  </w:style>
  <w:style w:type="paragraph" w:customStyle="1" w:styleId="MarginEdition">
    <w:name w:val="Margin Edition"/>
    <w:basedOn w:val="MarginNote"/>
    <w:rsid w:val="00FD0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211"/>
    <w:rPr>
      <w:sz w:val="2"/>
      <w:szCs w:val="2"/>
    </w:rPr>
  </w:style>
  <w:style w:type="character" w:customStyle="1" w:styleId="Small">
    <w:name w:val="Small"/>
    <w:basedOn w:val="DefaultParagraphFont"/>
    <w:rsid w:val="00FD0211"/>
    <w:rPr>
      <w:sz w:val="16"/>
    </w:rPr>
  </w:style>
  <w:style w:type="paragraph" w:customStyle="1" w:styleId="WideTable">
    <w:name w:val="Wide Table"/>
    <w:basedOn w:val="Normal"/>
    <w:rsid w:val="00FD0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211"/>
  </w:style>
  <w:style w:type="paragraph" w:styleId="Quote">
    <w:name w:val="Quote"/>
    <w:basedOn w:val="Heading1"/>
    <w:link w:val="QuoteChar"/>
    <w:qFormat/>
    <w:rsid w:val="00FD0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211"/>
    <w:pPr>
      <w:pageBreakBefore/>
    </w:pPr>
  </w:style>
  <w:style w:type="paragraph" w:customStyle="1" w:styleId="Border">
    <w:name w:val="Border"/>
    <w:basedOn w:val="Normal"/>
    <w:qFormat/>
    <w:rsid w:val="00FD0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211"/>
    <w:rPr>
      <w:u w:val="single"/>
    </w:rPr>
  </w:style>
  <w:style w:type="character" w:customStyle="1" w:styleId="BoldandItalics">
    <w:name w:val="Bold and Italics"/>
    <w:qFormat/>
    <w:rsid w:val="00FD0211"/>
    <w:rPr>
      <w:b/>
      <w:i/>
      <w:u w:val="none"/>
    </w:rPr>
  </w:style>
  <w:style w:type="paragraph" w:styleId="BalloonText">
    <w:name w:val="Balloon Text"/>
    <w:basedOn w:val="Normal"/>
    <w:link w:val="BalloonTextChar"/>
    <w:rsid w:val="00FD0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2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2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5851</Characters>
  <Application>Microsoft Office Word</Application>
  <DocSecurity>0</DocSecurity>
  <Lines>142</Lines>
  <Paragraphs>100</Paragraphs>
  <ScaleCrop>false</ScaleCrop>
  <Company>Author-it Software Corporation Ltd.</Company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PMC557095 Specify and monitor the installation of monolithic/castable refractories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2016-06-22T08:34:00Z</dcterms:created>
  <dcterms:modified xsi:type="dcterms:W3CDTF">2016-06-22T08:34:00Z</dcterms:modified>
</cp:coreProperties>
</file>