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6ED3" w:rsidP="00046E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PMC557094 Investigate refractory failures</w:t>
      </w:r>
      <w:r>
        <w:fldChar w:fldCharType="end"/>
      </w:r>
    </w:p>
    <w:p w:rsidR="00046ED3" w:rsidP="00046ED3">
      <w:pPr>
        <w:pStyle w:val="Version"/>
        <w:sectPr w:rsidSect="006401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01AE" w:rsidP="006401AE">
      <w:pPr>
        <w:pStyle w:val="SuperHeading"/>
      </w:pPr>
      <w:r w:rsidRPr="006401AE">
        <w:t>Assessment Requirements for PMC557094 Investigate refractory failures</w:t>
      </w:r>
    </w:p>
    <w:p w:rsidR="00000000" w:rsidRPr="006401AE" w:rsidP="006401AE">
      <w:pPr>
        <w:pStyle w:val="Heading1"/>
      </w:pPr>
      <w:bookmarkStart w:id="1" w:name="O_929436"/>
      <w:bookmarkEnd w:id="1"/>
      <w:r w:rsidRPr="006401AE">
        <w:t>Modification History</w:t>
      </w:r>
    </w:p>
    <w:p w:rsidR="00000000" w:rsidRPr="006401AE" w:rsidP="006401AE">
      <w:pPr>
        <w:pStyle w:val="BodyText"/>
      </w:pPr>
      <w:r w:rsidRPr="006401AE">
        <w:t>Release 1. Supersedes and is equivalent to PMC557094A Investigate refractory failures</w:t>
      </w:r>
    </w:p>
    <w:p w:rsidR="00000000" w:rsidRPr="006401AE" w:rsidP="006401AE">
      <w:pPr>
        <w:pStyle w:val="AllowPageBreak"/>
      </w:pPr>
    </w:p>
    <w:p w:rsidR="00000000" w:rsidRPr="006401AE" w:rsidP="006401AE">
      <w:pPr>
        <w:pStyle w:val="Heading1"/>
      </w:pPr>
      <w:bookmarkStart w:id="2" w:name="O_929439"/>
      <w:bookmarkEnd w:id="2"/>
      <w:r w:rsidRPr="006401AE">
        <w:t>Performance Evidence</w:t>
      </w:r>
    </w:p>
    <w:p w:rsidR="00000000" w:rsidRPr="006401AE" w:rsidP="006401AE">
      <w:pPr>
        <w:pStyle w:val="BodyText"/>
      </w:pPr>
      <w:r w:rsidRPr="006401AE">
        <w:t>Evidence required to demonstrate competence in this unit must be relevant to and satisfy the requirements of the elements and performance criteria and demonstrate the ability to:</w:t>
      </w:r>
    </w:p>
    <w:p w:rsidR="00000000" w:rsidRPr="006401AE" w:rsidP="006401AE">
      <w:pPr>
        <w:pStyle w:val="ListBullet"/>
      </w:pPr>
      <w:r w:rsidRPr="006401AE">
        <w:t xml:space="preserve">analyse and interpret technical reports, technical specifications and data </w:t>
      </w:r>
    </w:p>
    <w:p w:rsidR="00000000" w:rsidRPr="006401AE" w:rsidP="006401AE">
      <w:pPr>
        <w:pStyle w:val="ListBullet"/>
      </w:pPr>
      <w:r w:rsidRPr="006401AE">
        <w:t>confirm purpose of investigation, including one (1) or more of:</w:t>
      </w:r>
    </w:p>
    <w:p w:rsidR="00000000" w:rsidRPr="006401AE" w:rsidP="006401AE">
      <w:pPr>
        <w:pStyle w:val="ListBullet2"/>
      </w:pPr>
      <w:r w:rsidRPr="006401AE">
        <w:t>routine monitoring of the 'wear and tear' deterioration of a refractory</w:t>
      </w:r>
    </w:p>
    <w:p w:rsidR="00000000" w:rsidRPr="006401AE" w:rsidP="006401AE">
      <w:pPr>
        <w:pStyle w:val="ListBullet2"/>
      </w:pPr>
      <w:r w:rsidRPr="006401AE">
        <w:t>investigation of suspected degradation of a refractory still in use</w:t>
      </w:r>
    </w:p>
    <w:p w:rsidR="00000000" w:rsidRPr="006401AE" w:rsidP="006401AE">
      <w:pPr>
        <w:pStyle w:val="ListBullet2"/>
      </w:pPr>
      <w:r w:rsidRPr="006401AE">
        <w:t>investigation of a catastrophic refractory failure</w:t>
      </w:r>
    </w:p>
    <w:p w:rsidR="00000000" w:rsidRPr="006401AE" w:rsidP="006401AE">
      <w:pPr>
        <w:pStyle w:val="ListBullet2"/>
      </w:pPr>
      <w:r w:rsidRPr="006401AE">
        <w:t>investigation to support an insurance or other claim</w:t>
      </w:r>
    </w:p>
    <w:p w:rsidR="00000000" w:rsidRPr="006401AE" w:rsidP="006401AE">
      <w:pPr>
        <w:pStyle w:val="ListBullet2"/>
      </w:pPr>
      <w:r w:rsidRPr="006401AE">
        <w:t>investigation requested by a third party (e.g. for a dispute)</w:t>
      </w:r>
    </w:p>
    <w:p w:rsidR="00000000" w:rsidRPr="006401AE" w:rsidP="006401AE">
      <w:pPr>
        <w:pStyle w:val="ListBullet2"/>
      </w:pPr>
      <w:r w:rsidRPr="006401AE">
        <w:t>technical investigation aimed at better understanding the refractory in use and so improving the refractory</w:t>
      </w:r>
    </w:p>
    <w:p w:rsidR="00000000" w:rsidRPr="006401AE" w:rsidP="006401AE">
      <w:pPr>
        <w:pStyle w:val="ListBullet"/>
      </w:pPr>
      <w:r w:rsidRPr="006401AE">
        <w:t xml:space="preserve">determine information and data requirements, sampling/data collection methods and related authorisations </w:t>
      </w:r>
    </w:p>
    <w:p w:rsidR="00000000" w:rsidRPr="006401AE" w:rsidP="006401AE">
      <w:pPr>
        <w:pStyle w:val="ListBullet"/>
      </w:pPr>
      <w:r w:rsidRPr="006401AE">
        <w:t xml:space="preserve">collate and analyse data to determine causes of failure/deterioration </w:t>
      </w:r>
    </w:p>
    <w:p w:rsidR="00000000" w:rsidRPr="006401AE" w:rsidP="006401AE">
      <w:pPr>
        <w:pStyle w:val="ListBullet"/>
      </w:pPr>
      <w:r w:rsidRPr="006401AE">
        <w:t xml:space="preserve">communicate technical information verbally and in writing/drawings </w:t>
      </w:r>
    </w:p>
    <w:p w:rsidR="00000000" w:rsidRPr="006401AE" w:rsidP="006401AE">
      <w:pPr>
        <w:pStyle w:val="ListBullet"/>
      </w:pPr>
      <w:r w:rsidRPr="006401AE">
        <w:t>communicate</w:t>
      </w:r>
      <w:r w:rsidRPr="006401AE">
        <w:t xml:space="preserve"> with internal and external stakeholders, including one or more of:</w:t>
      </w:r>
    </w:p>
    <w:p w:rsidR="00000000" w:rsidRPr="006401AE" w:rsidP="006401AE">
      <w:pPr>
        <w:pStyle w:val="ListBullet2"/>
      </w:pPr>
      <w:r w:rsidRPr="006401AE">
        <w:t>customer representatives</w:t>
      </w:r>
    </w:p>
    <w:p w:rsidR="00000000" w:rsidRPr="006401AE" w:rsidP="006401AE">
      <w:pPr>
        <w:pStyle w:val="ListBullet2"/>
      </w:pPr>
      <w:r w:rsidRPr="006401AE">
        <w:t>technical experts</w:t>
      </w:r>
    </w:p>
    <w:p w:rsidR="00000000" w:rsidRPr="006401AE" w:rsidP="006401AE">
      <w:pPr>
        <w:pStyle w:val="ListBullet2"/>
      </w:pPr>
      <w:r w:rsidRPr="006401AE">
        <w:t>regulators</w:t>
      </w:r>
    </w:p>
    <w:p w:rsidR="00000000" w:rsidRPr="006401AE" w:rsidP="006401AE">
      <w:pPr>
        <w:pStyle w:val="ListBullet2"/>
      </w:pPr>
      <w:r w:rsidRPr="006401AE">
        <w:t>management</w:t>
      </w:r>
    </w:p>
    <w:p w:rsidR="00000000" w:rsidRPr="006401AE" w:rsidP="006401AE">
      <w:pPr>
        <w:pStyle w:val="ListBullet2"/>
      </w:pPr>
      <w:r w:rsidRPr="006401AE">
        <w:t xml:space="preserve">refractory designer </w:t>
      </w:r>
    </w:p>
    <w:p w:rsidR="00000000" w:rsidRPr="006401AE" w:rsidP="006401AE">
      <w:pPr>
        <w:pStyle w:val="ListBullet2"/>
      </w:pPr>
      <w:r w:rsidRPr="006401AE">
        <w:t>refractory installer</w:t>
      </w:r>
    </w:p>
    <w:p w:rsidR="00000000" w:rsidRPr="006401AE" w:rsidP="006401AE">
      <w:pPr>
        <w:pStyle w:val="ListBullet"/>
      </w:pPr>
      <w:r w:rsidRPr="006401AE">
        <w:t xml:space="preserve">document investigation, causes and recommendations </w:t>
      </w:r>
    </w:p>
    <w:p w:rsidR="00000000" w:rsidRPr="006401AE" w:rsidP="006401AE">
      <w:pPr>
        <w:pStyle w:val="ListBullet"/>
      </w:pPr>
      <w:r w:rsidRPr="006401AE">
        <w:t>apply complex and/or theore</w:t>
      </w:r>
      <w:r w:rsidRPr="006401AE">
        <w:t>tical mathematical calculations, statistics</w:t>
      </w:r>
    </w:p>
    <w:p w:rsidR="00000000" w:rsidRPr="006401AE" w:rsidP="006401AE">
      <w:pPr>
        <w:pStyle w:val="ListBullet"/>
      </w:pPr>
      <w:r w:rsidRPr="006401AE">
        <w:t>solve complex problems within or arising from the investigation.</w:t>
      </w:r>
    </w:p>
    <w:p w:rsidR="00000000" w:rsidRPr="006401AE" w:rsidP="006401AE">
      <w:pPr>
        <w:pStyle w:val="AllowPageBreak"/>
      </w:pPr>
    </w:p>
    <w:p w:rsidR="00000000" w:rsidRPr="006401AE" w:rsidP="006401AE">
      <w:pPr>
        <w:pStyle w:val="Heading1"/>
      </w:pPr>
      <w:bookmarkStart w:id="3" w:name="O_929438"/>
      <w:bookmarkEnd w:id="3"/>
      <w:r w:rsidRPr="006401AE">
        <w:t>Knowledge Evidence</w:t>
      </w:r>
    </w:p>
    <w:p w:rsidR="00000000" w:rsidRPr="006401AE" w:rsidP="006401AE">
      <w:pPr>
        <w:pStyle w:val="BodyText"/>
      </w:pPr>
      <w:r w:rsidRPr="006401AE">
        <w:t>Must provide evidence that demonstrates knowledge relevant to their job sufficient to fulfil their job role, including knowledge of:</w:t>
      </w:r>
    </w:p>
    <w:p w:rsidR="00000000" w:rsidRPr="006401AE" w:rsidP="006401AE">
      <w:pPr>
        <w:pStyle w:val="ListBullet"/>
      </w:pPr>
      <w:r w:rsidRPr="006401AE">
        <w:t>properties of all common refractory materials</w:t>
      </w:r>
    </w:p>
    <w:p w:rsidR="00000000" w:rsidRPr="006401AE" w:rsidP="006401AE">
      <w:pPr>
        <w:pStyle w:val="ListBullet"/>
      </w:pPr>
      <w:r w:rsidRPr="006401AE">
        <w:t>typical limitations and applications of all common refractory materials</w:t>
      </w:r>
    </w:p>
    <w:p w:rsidR="00000000" w:rsidRPr="006401AE" w:rsidP="006401AE">
      <w:pPr>
        <w:pStyle w:val="ListBullet"/>
      </w:pPr>
      <w:r w:rsidRPr="006401AE">
        <w:t>inst</w:t>
      </w:r>
      <w:r w:rsidRPr="006401AE">
        <w:t>allation methods and their impacts on refractory failure</w:t>
      </w:r>
    </w:p>
    <w:p w:rsidR="00000000" w:rsidRPr="006401AE" w:rsidP="006401AE">
      <w:pPr>
        <w:pStyle w:val="ListBullet"/>
      </w:pPr>
      <w:r w:rsidRPr="006401AE">
        <w:t>common refractory repairs and their impacts on refractory failure</w:t>
      </w:r>
    </w:p>
    <w:p w:rsidR="00000000" w:rsidRPr="006401AE" w:rsidP="006401AE">
      <w:pPr>
        <w:pStyle w:val="ListBullet"/>
      </w:pPr>
      <w:r w:rsidRPr="006401AE">
        <w:t>causes of refractory deterioration, degradation and failure</w:t>
      </w:r>
    </w:p>
    <w:p w:rsidR="00000000" w:rsidRPr="006401AE" w:rsidP="006401AE">
      <w:pPr>
        <w:pStyle w:val="ListBullet"/>
      </w:pPr>
      <w:r w:rsidRPr="006401AE">
        <w:t>identification and causes of common failure modes, including:</w:t>
      </w:r>
    </w:p>
    <w:p w:rsidR="00000000" w:rsidRPr="006401AE" w:rsidP="006401AE">
      <w:pPr>
        <w:pStyle w:val="ListBullet2"/>
      </w:pPr>
      <w:r w:rsidRPr="006401AE">
        <w:t>spalling</w:t>
      </w:r>
    </w:p>
    <w:p w:rsidR="00000000" w:rsidRPr="006401AE" w:rsidP="006401AE">
      <w:pPr>
        <w:pStyle w:val="ListBullet2"/>
      </w:pPr>
      <w:r w:rsidRPr="006401AE">
        <w:t>c</w:t>
      </w:r>
      <w:r w:rsidRPr="006401AE">
        <w:t>orrosion</w:t>
      </w:r>
    </w:p>
    <w:p w:rsidR="00000000" w:rsidRPr="006401AE" w:rsidP="006401AE">
      <w:pPr>
        <w:pStyle w:val="ListBullet2"/>
      </w:pPr>
      <w:r w:rsidRPr="006401AE">
        <w:t>abrasion</w:t>
      </w:r>
    </w:p>
    <w:p w:rsidR="00000000" w:rsidRPr="006401AE" w:rsidP="006401AE">
      <w:pPr>
        <w:pStyle w:val="ListBullet2"/>
      </w:pPr>
      <w:r w:rsidRPr="006401AE">
        <w:t>impact/compression/tension</w:t>
      </w:r>
    </w:p>
    <w:p w:rsidR="00000000" w:rsidRPr="006401AE" w:rsidP="006401AE">
      <w:pPr>
        <w:pStyle w:val="ListBullet2"/>
      </w:pPr>
      <w:r w:rsidRPr="006401AE">
        <w:t>thermal shock</w:t>
      </w:r>
    </w:p>
    <w:p w:rsidR="00000000" w:rsidRPr="006401AE" w:rsidP="006401AE">
      <w:pPr>
        <w:pStyle w:val="ListBullet"/>
      </w:pPr>
      <w:r w:rsidRPr="006401AE">
        <w:t>benefits and limitations and health, safety and environmental (HSE) risks of information/data gathering methods, including:</w:t>
      </w:r>
    </w:p>
    <w:p w:rsidR="00000000" w:rsidRPr="006401AE" w:rsidP="006401AE">
      <w:pPr>
        <w:pStyle w:val="ListBullet2"/>
      </w:pPr>
      <w:r w:rsidRPr="006401AE">
        <w:t>examining samples of failed refractory</w:t>
      </w:r>
    </w:p>
    <w:p w:rsidR="00000000" w:rsidRPr="006401AE" w:rsidP="006401AE">
      <w:pPr>
        <w:pStyle w:val="ListBullet2"/>
      </w:pPr>
      <w:r w:rsidRPr="006401AE">
        <w:t>collecting data of a refractory in use</w:t>
      </w:r>
    </w:p>
    <w:p w:rsidR="00000000" w:rsidRPr="006401AE" w:rsidP="006401AE">
      <w:pPr>
        <w:pStyle w:val="ListBullet2"/>
      </w:pPr>
      <w:r w:rsidRPr="006401AE">
        <w:t>collecting observations of a refractory in use</w:t>
      </w:r>
    </w:p>
    <w:p w:rsidR="00000000" w:rsidRPr="006401AE" w:rsidP="006401AE">
      <w:pPr>
        <w:pStyle w:val="ListBullet2"/>
      </w:pPr>
      <w:r w:rsidRPr="006401AE">
        <w:t>examining an entire refractory installation after it has been shutdown</w:t>
      </w:r>
    </w:p>
    <w:p w:rsidR="00000000" w:rsidRPr="006401AE" w:rsidP="006401AE">
      <w:pPr>
        <w:pStyle w:val="ListBullet2"/>
      </w:pPr>
      <w:r w:rsidRPr="006401AE">
        <w:t xml:space="preserve">one set of data collection </w:t>
      </w:r>
    </w:p>
    <w:p w:rsidR="00000000" w:rsidRPr="006401AE" w:rsidP="006401AE">
      <w:pPr>
        <w:pStyle w:val="ListBullet2"/>
      </w:pPr>
      <w:r w:rsidRPr="006401AE">
        <w:t>a planned series of data collection at specified intervals over a speci</w:t>
      </w:r>
      <w:r w:rsidRPr="006401AE">
        <w:t>fied period</w:t>
      </w:r>
    </w:p>
    <w:p w:rsidR="00000000" w:rsidRPr="006401AE" w:rsidP="006401AE">
      <w:pPr>
        <w:pStyle w:val="ListBullet2"/>
      </w:pPr>
      <w:r w:rsidRPr="006401AE">
        <w:t>discussions/interviews with stakeholders</w:t>
      </w:r>
    </w:p>
    <w:p w:rsidR="00000000" w:rsidRPr="006401AE" w:rsidP="006401AE">
      <w:pPr>
        <w:pStyle w:val="ListBullet"/>
      </w:pPr>
      <w:r w:rsidRPr="006401AE">
        <w:t>regulatory framework</w:t>
      </w:r>
    </w:p>
    <w:p w:rsidR="00000000" w:rsidRPr="006401AE" w:rsidP="006401AE">
      <w:pPr>
        <w:pStyle w:val="ListBullet"/>
      </w:pPr>
      <w:r w:rsidRPr="006401AE">
        <w:t>hierarchy of control</w:t>
      </w:r>
    </w:p>
    <w:p w:rsidR="00000000" w:rsidRPr="006401AE" w:rsidP="006401AE">
      <w:pPr>
        <w:pStyle w:val="ListBullet"/>
      </w:pPr>
      <w:r w:rsidRPr="006401AE">
        <w:t>hazards that may arise in the job/work environment and:</w:t>
      </w:r>
    </w:p>
    <w:p w:rsidR="00000000" w:rsidRPr="006401AE" w:rsidP="006401AE">
      <w:pPr>
        <w:pStyle w:val="ListBullet2"/>
      </w:pPr>
      <w:r w:rsidRPr="006401AE">
        <w:t xml:space="preserve">their possible causes </w:t>
      </w:r>
    </w:p>
    <w:p w:rsidR="00000000" w:rsidRPr="006401AE" w:rsidP="006401AE">
      <w:pPr>
        <w:pStyle w:val="ListBullet2"/>
      </w:pPr>
      <w:r w:rsidRPr="006401AE">
        <w:t>potential consequences</w:t>
      </w:r>
    </w:p>
    <w:p w:rsidR="00000000" w:rsidRPr="006401AE" w:rsidP="006401AE">
      <w:pPr>
        <w:pStyle w:val="ListBullet2"/>
      </w:pPr>
      <w:r w:rsidRPr="006401AE">
        <w:t>appropriate risk controls.</w:t>
      </w:r>
    </w:p>
    <w:p w:rsidR="00000000" w:rsidRPr="006401AE" w:rsidP="006401AE">
      <w:pPr>
        <w:pStyle w:val="AllowPageBreak"/>
      </w:pPr>
    </w:p>
    <w:p w:rsidR="00000000" w:rsidRPr="006401AE" w:rsidP="006401AE">
      <w:pPr>
        <w:pStyle w:val="Heading1"/>
      </w:pPr>
      <w:bookmarkStart w:id="4" w:name="O_929437"/>
      <w:bookmarkEnd w:id="4"/>
      <w:r w:rsidRPr="006401AE">
        <w:t>Assessment Conditions</w:t>
      </w:r>
    </w:p>
    <w:p w:rsidR="00000000" w:rsidRPr="006401AE" w:rsidP="006401AE">
      <w:pPr>
        <w:pStyle w:val="ListBullet"/>
      </w:pPr>
      <w:r w:rsidRPr="006401AE">
        <w:t xml:space="preserve">The unit should be assessed holistically and the judgement of competence shall be based on a holistic assessment of the evidence. </w:t>
      </w:r>
    </w:p>
    <w:p w:rsidR="00000000" w:rsidRPr="006401AE" w:rsidP="006401AE">
      <w:pPr>
        <w:pStyle w:val="ListBullet"/>
      </w:pPr>
      <w:r w:rsidRPr="006401AE">
        <w:t>It may be appropriate to assess this unit in conjunction with:</w:t>
      </w:r>
    </w:p>
    <w:p w:rsidR="00000000" w:rsidRPr="006401AE" w:rsidP="006401AE">
      <w:pPr>
        <w:pStyle w:val="ListBullet2"/>
      </w:pPr>
      <w:r w:rsidRPr="006401AE">
        <w:rPr>
          <w:rStyle w:val="Emphasis"/>
        </w:rPr>
        <w:t>PMC554091 Analyse refractory failures</w:t>
      </w:r>
      <w:r w:rsidRPr="006401AE">
        <w:t>.</w:t>
      </w:r>
    </w:p>
    <w:p w:rsidR="00000000" w:rsidRPr="006401AE" w:rsidP="006401AE">
      <w:pPr>
        <w:pStyle w:val="ListBullet"/>
      </w:pPr>
      <w:r w:rsidRPr="006401AE">
        <w:t>The collection of performance evidence is best done from a report and/or folio of evidence drawn from:</w:t>
      </w:r>
    </w:p>
    <w:p w:rsidR="00000000" w:rsidRPr="006401AE" w:rsidP="006401AE">
      <w:pPr>
        <w:pStyle w:val="ListBullet2"/>
      </w:pPr>
      <w:r w:rsidRPr="006401AE">
        <w:t>a single project which provides sufficient evidence of the requirements of all the elements and performance criteria</w:t>
      </w:r>
    </w:p>
    <w:p w:rsidR="00000000" w:rsidRPr="006401AE" w:rsidP="006401AE">
      <w:pPr>
        <w:pStyle w:val="ListBullet2"/>
      </w:pPr>
      <w:r w:rsidRPr="006401AE">
        <w:t>multiple smaller projects which t</w:t>
      </w:r>
      <w:r w:rsidRPr="006401AE">
        <w:t>ogether provide sufficient evidence of the requirements of all the elements and performance criteria.</w:t>
      </w:r>
    </w:p>
    <w:p w:rsidR="00000000" w:rsidRPr="006401AE" w:rsidP="006401AE">
      <w:pPr>
        <w:pStyle w:val="ListBullet"/>
      </w:pPr>
      <w:r w:rsidRPr="006401AE">
        <w:t>A third-party report, or similar, may be needed to testify to the work done by the individual, particularly when the project has been done as part of a p</w:t>
      </w:r>
      <w:r w:rsidRPr="006401AE">
        <w:t>roject team.</w:t>
      </w:r>
    </w:p>
    <w:p w:rsidR="00000000" w:rsidRPr="006401AE" w:rsidP="006401AE">
      <w:pPr>
        <w:pStyle w:val="ListBullet"/>
      </w:pPr>
      <w:r w:rsidRPr="006401AE">
        <w:t>Assessment should use a real project in an operational workplace. Where this is not possible or where personal safety or environmental damage are limiting factors assessment must occur using a sufficiently rigorous simulated environment that r</w:t>
      </w:r>
      <w:r w:rsidRPr="006401AE">
        <w:t>eflects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6401AE" w:rsidP="006401AE">
      <w:pPr>
        <w:pStyle w:val="ListBullet"/>
      </w:pPr>
      <w:r w:rsidRPr="006401AE">
        <w:t>Assessment in a simulated e</w:t>
      </w:r>
      <w:r w:rsidRPr="006401AE">
        <w:t xml:space="preserve">nvironment should use evidence collected from demonstration of skills and one or more of: </w:t>
      </w:r>
    </w:p>
    <w:p w:rsidR="00000000" w:rsidRPr="006401AE" w:rsidP="006401AE">
      <w:pPr>
        <w:pStyle w:val="ListBullet2"/>
      </w:pPr>
      <w:r w:rsidRPr="006401AE">
        <w:t>walk-throughs</w:t>
      </w:r>
    </w:p>
    <w:p w:rsidR="00000000" w:rsidRPr="006401AE" w:rsidP="006401AE">
      <w:pPr>
        <w:pStyle w:val="ListBullet2"/>
      </w:pPr>
      <w:r w:rsidRPr="006401AE">
        <w:t>pilot plant operation</w:t>
      </w:r>
    </w:p>
    <w:p w:rsidR="00000000" w:rsidRPr="006401AE" w:rsidP="006401AE">
      <w:pPr>
        <w:pStyle w:val="ListBullet2"/>
      </w:pPr>
      <w:r w:rsidRPr="006401AE">
        <w:t xml:space="preserve">industry-based case studies/scenarios </w:t>
      </w:r>
    </w:p>
    <w:p w:rsidR="00000000" w:rsidRPr="006401AE" w:rsidP="006401AE">
      <w:pPr>
        <w:pStyle w:val="ListBullet2"/>
      </w:pPr>
      <w:r w:rsidRPr="006401AE">
        <w:t>‘what ifs’.</w:t>
      </w:r>
    </w:p>
    <w:p w:rsidR="00000000" w:rsidRPr="006401AE" w:rsidP="006401AE">
      <w:pPr>
        <w:pStyle w:val="ListBullet"/>
      </w:pPr>
      <w:r w:rsidRPr="006401AE">
        <w:t>Knowledge evidence may be collected concurrently with performance ev</w:t>
      </w:r>
      <w:r w:rsidRPr="006401AE">
        <w:t>idence or through an independent process, such as workbooks, written assessments or interviews.</w:t>
      </w:r>
    </w:p>
    <w:p w:rsidR="00000000" w:rsidRPr="006401AE" w:rsidP="006401AE">
      <w:pPr>
        <w:pStyle w:val="ListBullet"/>
      </w:pPr>
      <w:r w:rsidRPr="006401AE">
        <w:t>Assessment processes and techniques must be appropriate to the language, literacy and numeracy requirements of the work being performed and the needs of the can</w:t>
      </w:r>
      <w:r w:rsidRPr="006401AE">
        <w:t>didate.</w:t>
      </w:r>
    </w:p>
    <w:p w:rsidR="00000000" w:rsidRPr="006401AE" w:rsidP="006401AE">
      <w:pPr>
        <w:pStyle w:val="ListBullet"/>
      </w:pPr>
      <w:r w:rsidRPr="006401AE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6401AE" w:rsidP="006401AE">
      <w:pPr>
        <w:pStyle w:val="ListBullet"/>
      </w:pPr>
      <w:r w:rsidRPr="006401AE">
        <w:t xml:space="preserve">The regulatory framework will </w:t>
      </w:r>
      <w:r w:rsidRPr="006401AE">
        <w:t>be reflected in workplace policies and procedures and is not required to be independently assessed.</w:t>
      </w:r>
    </w:p>
    <w:p w:rsidR="00000000" w:rsidRPr="006401AE" w:rsidP="006401AE">
      <w:pPr>
        <w:pStyle w:val="ListBullet"/>
      </w:pPr>
      <w:r w:rsidRPr="006401AE">
        <w:t>Foundation skills are integral to competent performance of the unit and should not be assessed separately.</w:t>
      </w:r>
    </w:p>
    <w:p w:rsidR="00000000" w:rsidRPr="006401AE" w:rsidP="006401AE">
      <w:pPr>
        <w:pStyle w:val="ListBullet"/>
      </w:pPr>
      <w:r w:rsidRPr="006401AE">
        <w:t>Assessors must satisfy the assessor competency re</w:t>
      </w:r>
      <w:r w:rsidRPr="006401AE">
        <w:t>quirements that are in place at the time of the assessment as set by the VET regulator.</w:t>
      </w:r>
    </w:p>
    <w:p w:rsidR="00000000" w:rsidRPr="006401AE" w:rsidP="006401AE">
      <w:pPr>
        <w:pStyle w:val="ListBullet"/>
      </w:pPr>
      <w:r w:rsidRPr="006401AE">
        <w:t>In addition the assessor or anyone acting in subject matter expert role in assessment shall demonstrate both technical competency and currency. If the assessor cannot d</w:t>
      </w:r>
      <w:r w:rsidRPr="006401AE">
        <w:t xml:space="preserve">emonstrate technical competency and currency they shall assess with a subject matter expert who does meet these requirements. </w:t>
      </w:r>
    </w:p>
    <w:p w:rsidR="00000000" w:rsidRPr="006401AE" w:rsidP="006401AE">
      <w:pPr>
        <w:pStyle w:val="ListBullet"/>
      </w:pPr>
      <w:r w:rsidRPr="006401AE">
        <w:t>Technical competence can be demonstrated through one or more of:</w:t>
      </w:r>
    </w:p>
    <w:p w:rsidR="00000000" w:rsidRPr="006401AE" w:rsidP="006401AE">
      <w:pPr>
        <w:pStyle w:val="ListBullet2"/>
      </w:pPr>
      <w:r w:rsidRPr="006401AE">
        <w:t xml:space="preserve">relevant VET or other qualification/Statement of Attainment </w:t>
      </w:r>
    </w:p>
    <w:p w:rsidR="00000000" w:rsidRPr="006401AE" w:rsidP="006401AE">
      <w:pPr>
        <w:pStyle w:val="ListBullet2"/>
      </w:pPr>
      <w:r w:rsidRPr="006401AE">
        <w:t>ap</w:t>
      </w:r>
      <w:r w:rsidRPr="006401AE">
        <w:t xml:space="preserve">propriate workplace experience undertaking the type of work being assessed under routine and non-routine conditions </w:t>
      </w:r>
    </w:p>
    <w:p w:rsidR="00000000" w:rsidRPr="006401AE" w:rsidP="006401AE">
      <w:pPr>
        <w:pStyle w:val="ListBullet2"/>
      </w:pPr>
      <w:r w:rsidRPr="006401AE">
        <w:t>appropriate workplace experience supervising/evaluating the type of work being assessed under routine and non-routine conditions</w:t>
      </w:r>
    </w:p>
    <w:p w:rsidR="00000000" w:rsidRPr="006401AE" w:rsidP="006401AE">
      <w:pPr>
        <w:pStyle w:val="ListBullet"/>
      </w:pPr>
      <w:r w:rsidRPr="006401AE">
        <w:t>Currency can be demonstrated through one or more of:</w:t>
      </w:r>
    </w:p>
    <w:p w:rsidR="00000000" w:rsidRPr="006401AE" w:rsidP="006401AE">
      <w:pPr>
        <w:pStyle w:val="ListBullet2"/>
      </w:pPr>
      <w:r w:rsidRPr="006401AE">
        <w:t xml:space="preserve">being currently employed undertaking the type of work being assessed </w:t>
      </w:r>
    </w:p>
    <w:p w:rsidR="00000000" w:rsidRPr="006401AE" w:rsidP="006401AE">
      <w:pPr>
        <w:pStyle w:val="ListBullet2"/>
      </w:pPr>
      <w:r w:rsidRPr="006401AE">
        <w:t>being employed by the organisation undertaking the type of work being assessed and having maintained currency in accordance with tha</w:t>
      </w:r>
      <w:r w:rsidRPr="006401AE">
        <w:t xml:space="preserve">t organisation’s policies and procedures </w:t>
      </w:r>
    </w:p>
    <w:p w:rsidR="00000000" w:rsidRPr="006401AE" w:rsidP="006401AE">
      <w:pPr>
        <w:pStyle w:val="ListBullet2"/>
      </w:pPr>
      <w:r w:rsidRPr="006401AE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6401AE" w:rsidP="006401AE">
      <w:pPr>
        <w:pStyle w:val="ListBullet2"/>
      </w:pPr>
      <w:r w:rsidRPr="006401AE">
        <w:t>conducting on the job training/asse</w:t>
      </w:r>
      <w:r w:rsidRPr="006401AE">
        <w:t xml:space="preserve">ssments of the type of work being assessed </w:t>
      </w:r>
    </w:p>
    <w:p w:rsidR="00000000" w:rsidRPr="006401AE" w:rsidP="006401AE">
      <w:pPr>
        <w:pStyle w:val="ListBullet2"/>
      </w:pPr>
      <w:r w:rsidRPr="006401AE">
        <w:t>being an active member of a relevant professional body and participating in activities relevant to the assessment of this type of work.</w:t>
      </w:r>
    </w:p>
    <w:p w:rsidR="00000000" w:rsidRPr="006401AE" w:rsidP="006401AE">
      <w:pPr>
        <w:pStyle w:val="AllowPageBreak"/>
      </w:pPr>
    </w:p>
    <w:p w:rsidR="00000000" w:rsidRPr="006401AE" w:rsidP="006401AE">
      <w:pPr>
        <w:pStyle w:val="Heading1"/>
      </w:pPr>
      <w:bookmarkStart w:id="5" w:name="O_929435"/>
      <w:bookmarkEnd w:id="5"/>
      <w:r w:rsidRPr="006401AE">
        <w:t>Links</w:t>
      </w:r>
    </w:p>
    <w:p w:rsidR="00000000" w:rsidRPr="006401AE" w:rsidP="006401AE">
      <w:pPr>
        <w:pStyle w:val="BodyText"/>
      </w:pPr>
      <w:r w:rsidRPr="006401AE">
        <w:t>MSA Training Package Implementation Guides - http://m</w:t>
      </w:r>
      <w:r w:rsidRPr="006401AE">
        <w:t>skills.org.au/training-packages/info/</w:t>
      </w:r>
    </w:p>
    <w:p w:rsidR="00000000" w:rsidRPr="006401AE" w:rsidP="006401AE"/>
    <w:sectPr w:rsidSect="006401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1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1AE" w:rsidRPr="00046ED3" w:rsidP="00046E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1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ED3" w:rsidP="006401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6ED3" w:rsidP="006401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46ED3" w:rsidP="006401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1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1AE" w:rsidRPr="00046ED3" w:rsidP="00046ED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1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ED3" w:rsidRPr="002D2AF8" w:rsidP="006401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PMC557094 Investigate refractory failures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046ED3" w:rsidP="006401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72A3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B643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F0F5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1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01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01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01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01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01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01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01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01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01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01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01AE"/>
  </w:style>
  <w:style w:type="character" w:customStyle="1" w:styleId="Heading1Char">
    <w:name w:val="Heading 1 Char"/>
    <w:basedOn w:val="DefaultParagraphFont"/>
    <w:link w:val="Heading1"/>
    <w:rsid w:val="006401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01A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01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01A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01A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01AE"/>
    <w:rPr>
      <w:i/>
    </w:rPr>
  </w:style>
  <w:style w:type="paragraph" w:customStyle="1" w:styleId="SuperHeading">
    <w:name w:val="SuperHeading"/>
    <w:basedOn w:val="Normal"/>
    <w:rsid w:val="006401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01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01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01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01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01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01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01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01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01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01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01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01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01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01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01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01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01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01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01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01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01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01AE"/>
    <w:rPr>
      <w:b/>
      <w:spacing w:val="0"/>
    </w:rPr>
  </w:style>
  <w:style w:type="paragraph" w:customStyle="1" w:styleId="SuperTitle">
    <w:name w:val="SuperTitle"/>
    <w:basedOn w:val="Title"/>
    <w:rsid w:val="006401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01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01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01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01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01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01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01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01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01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01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01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01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01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01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01AE"/>
  </w:style>
  <w:style w:type="paragraph" w:styleId="TableofFigures">
    <w:name w:val="table of figures"/>
    <w:basedOn w:val="Normal"/>
    <w:next w:val="Normal"/>
    <w:semiHidden/>
    <w:rsid w:val="006401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01AE"/>
    <w:pPr>
      <w:numPr>
        <w:numId w:val="11"/>
      </w:numPr>
    </w:pPr>
  </w:style>
  <w:style w:type="character" w:customStyle="1" w:styleId="WingdingSymbols">
    <w:name w:val="Wingding Symbols"/>
    <w:rsid w:val="006401AE"/>
    <w:rPr>
      <w:rFonts w:ascii="Wingdings" w:hAnsi="Wingdings"/>
    </w:rPr>
  </w:style>
  <w:style w:type="paragraph" w:customStyle="1" w:styleId="TableHeading">
    <w:name w:val="Table Heading"/>
    <w:basedOn w:val="HeadingBase"/>
    <w:rsid w:val="006401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01AE"/>
    <w:rPr>
      <w:color w:val="0033CC"/>
      <w:u w:val="none"/>
    </w:rPr>
  </w:style>
  <w:style w:type="paragraph" w:customStyle="1" w:styleId="BodyTextRight">
    <w:name w:val="Body Text Right"/>
    <w:basedOn w:val="BodyText"/>
    <w:rsid w:val="006401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01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01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01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01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01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01AE"/>
    <w:rPr>
      <w:sz w:val="32"/>
    </w:rPr>
  </w:style>
  <w:style w:type="paragraph" w:customStyle="1" w:styleId="HeadingProcedure">
    <w:name w:val="Heading Procedure"/>
    <w:basedOn w:val="HeadingBase"/>
    <w:next w:val="Normal"/>
    <w:rsid w:val="006401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01AE"/>
    <w:pPr>
      <w:spacing w:before="60" w:after="60"/>
    </w:pPr>
  </w:style>
  <w:style w:type="paragraph" w:styleId="ListContinue">
    <w:name w:val="List Continue"/>
    <w:basedOn w:val="List"/>
    <w:rsid w:val="006401AE"/>
    <w:pPr>
      <w:ind w:firstLine="0"/>
    </w:pPr>
  </w:style>
  <w:style w:type="paragraph" w:customStyle="1" w:styleId="ListNote">
    <w:name w:val="List Note"/>
    <w:basedOn w:val="List"/>
    <w:rsid w:val="006401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01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01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01AE"/>
    <w:rPr>
      <w:rFonts w:ascii="Courier New" w:hAnsi="Courier New"/>
    </w:rPr>
  </w:style>
  <w:style w:type="paragraph" w:customStyle="1" w:styleId="NoteBullet">
    <w:name w:val="Note Bullet"/>
    <w:basedOn w:val="Note"/>
    <w:rsid w:val="006401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01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01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01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01A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401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01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01AE"/>
    <w:rPr>
      <w:b/>
      <w:smallCaps/>
    </w:rPr>
  </w:style>
  <w:style w:type="paragraph" w:customStyle="1" w:styleId="TableListNumber">
    <w:name w:val="Table List Number"/>
    <w:basedOn w:val="ListNumber"/>
    <w:rsid w:val="006401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01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01AE"/>
    <w:pPr>
      <w:numPr>
        <w:numId w:val="9"/>
      </w:numPr>
    </w:pPr>
  </w:style>
  <w:style w:type="paragraph" w:customStyle="1" w:styleId="ListAlpha2">
    <w:name w:val="List Alpha 2"/>
    <w:basedOn w:val="List2"/>
    <w:rsid w:val="006401AE"/>
    <w:pPr>
      <w:numPr>
        <w:numId w:val="8"/>
      </w:numPr>
    </w:pPr>
  </w:style>
  <w:style w:type="paragraph" w:styleId="List2">
    <w:name w:val="List 2"/>
    <w:basedOn w:val="BodyText"/>
    <w:rsid w:val="006401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01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01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01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01A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01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01AE"/>
    <w:pPr>
      <w:numPr>
        <w:numId w:val="4"/>
      </w:numPr>
    </w:pPr>
  </w:style>
  <w:style w:type="paragraph" w:styleId="ListContinue2">
    <w:name w:val="List Continue 2"/>
    <w:basedOn w:val="List2"/>
    <w:rsid w:val="006401AE"/>
    <w:pPr>
      <w:ind w:firstLine="0"/>
    </w:pPr>
  </w:style>
  <w:style w:type="paragraph" w:styleId="ListContinue3">
    <w:name w:val="List Continue 3"/>
    <w:basedOn w:val="List3"/>
    <w:rsid w:val="006401AE"/>
    <w:pPr>
      <w:ind w:left="1021" w:firstLine="0"/>
    </w:pPr>
  </w:style>
  <w:style w:type="paragraph" w:styleId="ListContinue4">
    <w:name w:val="List Continue 4"/>
    <w:basedOn w:val="List4"/>
    <w:rsid w:val="006401AE"/>
    <w:pPr>
      <w:ind w:firstLine="0"/>
    </w:pPr>
  </w:style>
  <w:style w:type="paragraph" w:styleId="ListContinue5">
    <w:name w:val="List Continue 5"/>
    <w:basedOn w:val="List5"/>
    <w:rsid w:val="006401AE"/>
    <w:pPr>
      <w:ind w:firstLine="0"/>
    </w:pPr>
  </w:style>
  <w:style w:type="paragraph" w:styleId="ListNumber3">
    <w:name w:val="List Number 3"/>
    <w:basedOn w:val="List3"/>
    <w:rsid w:val="006401AE"/>
    <w:pPr>
      <w:numPr>
        <w:numId w:val="5"/>
      </w:numPr>
    </w:pPr>
  </w:style>
  <w:style w:type="paragraph" w:styleId="ListNumber4">
    <w:name w:val="List Number 4"/>
    <w:basedOn w:val="List4"/>
    <w:rsid w:val="006401AE"/>
    <w:pPr>
      <w:numPr>
        <w:numId w:val="6"/>
      </w:numPr>
    </w:pPr>
  </w:style>
  <w:style w:type="paragraph" w:styleId="ListNumber5">
    <w:name w:val="List Number 5"/>
    <w:basedOn w:val="List5"/>
    <w:rsid w:val="006401AE"/>
    <w:pPr>
      <w:numPr>
        <w:numId w:val="7"/>
      </w:numPr>
    </w:pPr>
  </w:style>
  <w:style w:type="paragraph" w:styleId="BlockText">
    <w:name w:val="Block Text"/>
    <w:basedOn w:val="Normal"/>
    <w:rsid w:val="006401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01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01AE"/>
    <w:rPr>
      <w:sz w:val="16"/>
      <w:vertAlign w:val="superscript"/>
    </w:rPr>
  </w:style>
  <w:style w:type="character" w:customStyle="1" w:styleId="Symbols">
    <w:name w:val="Symbols"/>
    <w:basedOn w:val="DefaultParagraphFont"/>
    <w:rsid w:val="006401AE"/>
    <w:rPr>
      <w:rFonts w:ascii="Symbol" w:hAnsi="Symbol"/>
    </w:rPr>
  </w:style>
  <w:style w:type="character" w:customStyle="1" w:styleId="MenuOptions">
    <w:name w:val="Menu Options"/>
    <w:basedOn w:val="DefaultParagraphFont"/>
    <w:rsid w:val="006401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01AE"/>
    <w:rPr>
      <w:b/>
    </w:rPr>
  </w:style>
  <w:style w:type="character" w:customStyle="1" w:styleId="Underlined">
    <w:name w:val="Underlined"/>
    <w:basedOn w:val="DefaultParagraphFont"/>
    <w:rsid w:val="006401AE"/>
    <w:rPr>
      <w:u w:val="single"/>
    </w:rPr>
  </w:style>
  <w:style w:type="paragraph" w:customStyle="1" w:styleId="TableBodyTextRight">
    <w:name w:val="Table Body Text Right"/>
    <w:basedOn w:val="TableBodyText"/>
    <w:rsid w:val="006401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01AE"/>
    <w:rPr>
      <w:sz w:val="18"/>
    </w:rPr>
  </w:style>
  <w:style w:type="paragraph" w:customStyle="1" w:styleId="BodySmallRight">
    <w:name w:val="Body Small Right"/>
    <w:basedOn w:val="BodyTextRight"/>
    <w:rsid w:val="006401AE"/>
    <w:rPr>
      <w:sz w:val="18"/>
      <w:szCs w:val="18"/>
    </w:rPr>
  </w:style>
  <w:style w:type="paragraph" w:customStyle="1" w:styleId="MarginEdition">
    <w:name w:val="Margin Edition"/>
    <w:basedOn w:val="MarginNote"/>
    <w:rsid w:val="006401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01AE"/>
    <w:rPr>
      <w:sz w:val="2"/>
      <w:szCs w:val="2"/>
    </w:rPr>
  </w:style>
  <w:style w:type="character" w:customStyle="1" w:styleId="Small">
    <w:name w:val="Small"/>
    <w:basedOn w:val="DefaultParagraphFont"/>
    <w:rsid w:val="006401AE"/>
    <w:rPr>
      <w:sz w:val="16"/>
    </w:rPr>
  </w:style>
  <w:style w:type="paragraph" w:customStyle="1" w:styleId="WideTable">
    <w:name w:val="Wide Table"/>
    <w:basedOn w:val="Normal"/>
    <w:rsid w:val="006401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01AE"/>
  </w:style>
  <w:style w:type="paragraph" w:styleId="Quote">
    <w:name w:val="Quote"/>
    <w:basedOn w:val="Heading1"/>
    <w:link w:val="QuoteChar"/>
    <w:qFormat/>
    <w:rsid w:val="006401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01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01AE"/>
    <w:pPr>
      <w:pageBreakBefore/>
    </w:pPr>
  </w:style>
  <w:style w:type="paragraph" w:customStyle="1" w:styleId="Border">
    <w:name w:val="Border"/>
    <w:basedOn w:val="Normal"/>
    <w:qFormat/>
    <w:rsid w:val="006401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01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1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1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01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01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01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01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01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01AE"/>
    <w:rPr>
      <w:u w:val="single"/>
    </w:rPr>
  </w:style>
  <w:style w:type="character" w:customStyle="1" w:styleId="BoldandItalics">
    <w:name w:val="Bold and Italics"/>
    <w:qFormat/>
    <w:rsid w:val="006401AE"/>
    <w:rPr>
      <w:b/>
      <w:i/>
      <w:u w:val="none"/>
    </w:rPr>
  </w:style>
  <w:style w:type="paragraph" w:styleId="BalloonText">
    <w:name w:val="Balloon Text"/>
    <w:basedOn w:val="Normal"/>
    <w:link w:val="BalloonTextChar"/>
    <w:rsid w:val="006401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01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01A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01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01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01A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906</Words>
  <Characters>5848</Characters>
  <Application>Microsoft Office Word</Application>
  <DocSecurity>0</DocSecurity>
  <Lines>128</Lines>
  <Paragraphs>88</Paragraphs>
  <ScaleCrop>false</ScaleCrop>
  <Company>Author-it Software Corporation Ltd.</Company>
  <LinksUpToDate>false</LinksUpToDate>
  <CharactersWithSpaces>6759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PMC557094 Investigate refractory failures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2016-06-22T08:41:00Z</dcterms:created>
  <dcterms:modified xsi:type="dcterms:W3CDTF">2016-06-22T08:41:00Z</dcterms:modified>
</cp:coreProperties>
</file>