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200" w:rsidP="00D77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PMC555031 Choose materials for an application</w:t>
      </w:r>
      <w:r>
        <w:fldChar w:fldCharType="end"/>
      </w:r>
    </w:p>
    <w:p w:rsidR="00D77200" w:rsidP="00D77200">
      <w:pPr>
        <w:pStyle w:val="Version"/>
        <w:sectPr w:rsidSect="00676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FE2" w:rsidP="00676FE2">
      <w:pPr>
        <w:pStyle w:val="SuperHeading"/>
      </w:pPr>
      <w:r w:rsidRPr="00676FE2">
        <w:t>Assessment Requirements for PMC555031 Choose materials for an application</w:t>
      </w:r>
    </w:p>
    <w:p w:rsidR="00000000" w:rsidRPr="00676FE2" w:rsidP="00676FE2">
      <w:pPr>
        <w:pStyle w:val="Heading1"/>
      </w:pPr>
      <w:bookmarkStart w:id="1" w:name="O_929303"/>
      <w:bookmarkEnd w:id="1"/>
      <w:r w:rsidRPr="00676FE2">
        <w:t>Modification History</w:t>
      </w:r>
    </w:p>
    <w:p w:rsidR="00000000" w:rsidRPr="00676FE2" w:rsidP="00676FE2">
      <w:pPr>
        <w:pStyle w:val="BodyText"/>
      </w:pPr>
      <w:r w:rsidRPr="00676FE2">
        <w:t xml:space="preserve">Release 1. Supersedes and is equivalent to PMC555031B Choose materials for an application. </w:t>
      </w:r>
    </w:p>
    <w:p w:rsidR="00000000" w:rsidRPr="00676FE2" w:rsidP="00676FE2">
      <w:pPr>
        <w:pStyle w:val="AllowPageBreak"/>
      </w:pPr>
    </w:p>
    <w:p w:rsidR="00000000" w:rsidRPr="00676FE2" w:rsidP="00676FE2">
      <w:pPr>
        <w:pStyle w:val="Heading1"/>
      </w:pPr>
      <w:bookmarkStart w:id="2" w:name="O_929306"/>
      <w:bookmarkEnd w:id="2"/>
      <w:r w:rsidRPr="00676FE2">
        <w:t>Performance Evidence</w:t>
      </w:r>
    </w:p>
    <w:p w:rsidR="00000000" w:rsidRPr="00676FE2" w:rsidP="00676FE2">
      <w:pPr>
        <w:pStyle w:val="BodyText"/>
      </w:pPr>
      <w:r w:rsidRPr="00676FE2">
        <w:t>Evidence required to demonstrate competence in this unit must be relevant to and satisfy the requirements of the elements and performance criteria and demonstrate the ability to:</w:t>
      </w:r>
    </w:p>
    <w:p w:rsidR="00000000" w:rsidRPr="00676FE2" w:rsidP="00676FE2">
      <w:pPr>
        <w:pStyle w:val="ListBullet"/>
      </w:pPr>
      <w:r w:rsidRPr="00676FE2">
        <w:t>determine product properties based on different materials, grades of materia</w:t>
      </w:r>
      <w:r w:rsidRPr="00676FE2">
        <w:t xml:space="preserve">ls and processing conditions </w:t>
      </w:r>
    </w:p>
    <w:p w:rsidR="00000000" w:rsidRPr="00676FE2" w:rsidP="00676FE2">
      <w:pPr>
        <w:pStyle w:val="ListBullet"/>
      </w:pPr>
      <w:r w:rsidRPr="00676FE2">
        <w:t>select appropriate base materials and additives to meet product property requirements while meeting health, safety and environmental (HSE) requirements</w:t>
      </w:r>
    </w:p>
    <w:p w:rsidR="00000000" w:rsidRPr="00676FE2" w:rsidP="00676FE2">
      <w:pPr>
        <w:pStyle w:val="ListBullet"/>
      </w:pPr>
      <w:r w:rsidRPr="00676FE2">
        <w:t>develop formulation and determine production processes</w:t>
      </w:r>
    </w:p>
    <w:p w:rsidR="00000000" w:rsidRPr="00676FE2" w:rsidP="00676FE2">
      <w:pPr>
        <w:pStyle w:val="ListBullet"/>
      </w:pPr>
      <w:r w:rsidRPr="00676FE2">
        <w:t>select and organise</w:t>
      </w:r>
      <w:r w:rsidRPr="00676FE2">
        <w:t xml:space="preserve"> tests</w:t>
      </w:r>
    </w:p>
    <w:p w:rsidR="00000000" w:rsidRPr="00676FE2" w:rsidP="00676FE2">
      <w:pPr>
        <w:pStyle w:val="ListBullet"/>
      </w:pPr>
      <w:r w:rsidRPr="00676FE2">
        <w:t>interpret test results and make modifications based on the results.</w:t>
      </w:r>
    </w:p>
    <w:p w:rsidR="00000000" w:rsidRPr="00676FE2" w:rsidP="00676FE2">
      <w:pPr>
        <w:pStyle w:val="AllowPageBreak"/>
      </w:pPr>
    </w:p>
    <w:p w:rsidR="00000000" w:rsidRPr="00676FE2" w:rsidP="00676FE2">
      <w:pPr>
        <w:pStyle w:val="Heading1"/>
      </w:pPr>
      <w:bookmarkStart w:id="3" w:name="O_929305"/>
      <w:bookmarkEnd w:id="3"/>
      <w:r w:rsidRPr="00676FE2">
        <w:t>Knowledge Evidence</w:t>
      </w:r>
    </w:p>
    <w:p w:rsidR="00000000" w:rsidRPr="00676FE2" w:rsidP="00676FE2">
      <w:pPr>
        <w:pStyle w:val="BodyText"/>
      </w:pPr>
      <w:r w:rsidRPr="00676FE2">
        <w:t>Must provide evidence that demonstrates knowledge relevant to their job sufficient to fulfil their job role, including knowledge of:</w:t>
      </w:r>
    </w:p>
    <w:p w:rsidR="00000000" w:rsidRPr="00676FE2" w:rsidP="00676FE2">
      <w:pPr>
        <w:pStyle w:val="ListBullet"/>
      </w:pPr>
      <w:r w:rsidRPr="00676FE2">
        <w:t>basic chemi</w:t>
      </w:r>
      <w:r w:rsidRPr="00676FE2">
        <w:t>stry and physics as relevant to the products and process</w:t>
      </w:r>
    </w:p>
    <w:p w:rsidR="00000000" w:rsidRPr="00676FE2" w:rsidP="00676FE2">
      <w:pPr>
        <w:pStyle w:val="ListBullet"/>
      </w:pPr>
      <w:r w:rsidRPr="00676FE2">
        <w:t>significance of materials properties, including:</w:t>
      </w:r>
    </w:p>
    <w:p w:rsidR="00000000" w:rsidRPr="00676FE2" w:rsidP="00676FE2">
      <w:pPr>
        <w:pStyle w:val="ListBullet2"/>
      </w:pPr>
      <w:r w:rsidRPr="00676FE2">
        <w:t>particle size, size distribution, particle shape and porosity</w:t>
      </w:r>
    </w:p>
    <w:p w:rsidR="00000000" w:rsidRPr="00676FE2" w:rsidP="00676FE2">
      <w:pPr>
        <w:pStyle w:val="ListBullet2"/>
      </w:pPr>
      <w:r w:rsidRPr="00676FE2">
        <w:t>flow properties and melt viscosity</w:t>
      </w:r>
    </w:p>
    <w:p w:rsidR="00000000" w:rsidRPr="00676FE2" w:rsidP="00676FE2">
      <w:pPr>
        <w:pStyle w:val="ListBullet2"/>
      </w:pPr>
      <w:r w:rsidRPr="00676FE2">
        <w:t>rigidity, tensile yield strength, modulus and impact strength</w:t>
      </w:r>
    </w:p>
    <w:p w:rsidR="00000000" w:rsidRPr="00676FE2" w:rsidP="00676FE2">
      <w:pPr>
        <w:pStyle w:val="ListBullet2"/>
      </w:pPr>
      <w:r w:rsidRPr="00676FE2">
        <w:t>brittle and ductile failure</w:t>
      </w:r>
    </w:p>
    <w:p w:rsidR="00000000" w:rsidRPr="00676FE2" w:rsidP="00676FE2">
      <w:pPr>
        <w:pStyle w:val="ListBullet2"/>
      </w:pPr>
      <w:r w:rsidRPr="00676FE2">
        <w:t>dimensional and thermal stability</w:t>
      </w:r>
    </w:p>
    <w:p w:rsidR="00000000" w:rsidRPr="00676FE2" w:rsidP="00676FE2">
      <w:pPr>
        <w:pStyle w:val="ListBullet"/>
      </w:pPr>
      <w:r w:rsidRPr="00676FE2">
        <w:t xml:space="preserve">property changes caused by different processing methods and conditions </w:t>
      </w:r>
    </w:p>
    <w:p w:rsidR="00000000" w:rsidRPr="00676FE2" w:rsidP="00676FE2">
      <w:pPr>
        <w:pStyle w:val="ListBullet"/>
      </w:pPr>
      <w:r w:rsidRPr="00676FE2">
        <w:t>typical processing conditions for common products</w:t>
      </w:r>
    </w:p>
    <w:p w:rsidR="00000000" w:rsidRPr="00676FE2" w:rsidP="00676FE2">
      <w:pPr>
        <w:pStyle w:val="ListBullet"/>
      </w:pPr>
      <w:r w:rsidRPr="00676FE2">
        <w:t xml:space="preserve">property </w:t>
      </w:r>
      <w:r w:rsidRPr="00676FE2">
        <w:t>changes caused by using additives</w:t>
      </w:r>
    </w:p>
    <w:p w:rsidR="00000000" w:rsidRPr="00676FE2" w:rsidP="00676FE2">
      <w:pPr>
        <w:pStyle w:val="ListBullet"/>
      </w:pPr>
      <w:r w:rsidRPr="00676FE2">
        <w:t>role and mechanism of reinforcement, including one (1) or more of:</w:t>
      </w:r>
    </w:p>
    <w:p w:rsidR="00000000" w:rsidRPr="00676FE2" w:rsidP="00676FE2">
      <w:pPr>
        <w:pStyle w:val="ListBullet2"/>
      </w:pPr>
      <w:r w:rsidRPr="00676FE2">
        <w:t>silicas and clays</w:t>
      </w:r>
    </w:p>
    <w:p w:rsidR="00000000" w:rsidRPr="00676FE2" w:rsidP="00676FE2">
      <w:pPr>
        <w:pStyle w:val="ListBullet2"/>
      </w:pPr>
      <w:r w:rsidRPr="00676FE2">
        <w:t>glass</w:t>
      </w:r>
    </w:p>
    <w:p w:rsidR="00000000" w:rsidRPr="00676FE2" w:rsidP="00676FE2">
      <w:pPr>
        <w:pStyle w:val="ListBullet2"/>
      </w:pPr>
      <w:r w:rsidRPr="00676FE2">
        <w:t>fibres</w:t>
      </w:r>
    </w:p>
    <w:p w:rsidR="00000000" w:rsidRPr="00676FE2" w:rsidP="00676FE2">
      <w:pPr>
        <w:pStyle w:val="ListBullet2"/>
      </w:pPr>
      <w:r w:rsidRPr="00676FE2">
        <w:t>steel</w:t>
      </w:r>
    </w:p>
    <w:p w:rsidR="00000000" w:rsidRPr="00676FE2" w:rsidP="00676FE2">
      <w:pPr>
        <w:pStyle w:val="ListBullet"/>
      </w:pPr>
      <w:r w:rsidRPr="00676FE2">
        <w:t>test methods, including:</w:t>
      </w:r>
    </w:p>
    <w:p w:rsidR="00000000" w:rsidRPr="00676FE2" w:rsidP="00676FE2">
      <w:pPr>
        <w:pStyle w:val="ListBullet2"/>
      </w:pPr>
      <w:r w:rsidRPr="00676FE2">
        <w:t>environmental tests - ultra-violet (UV), environmental stress, cracking, weatherometer and</w:t>
      </w:r>
      <w:r w:rsidRPr="00676FE2">
        <w:t xml:space="preserve"> chemical resistance</w:t>
      </w:r>
    </w:p>
    <w:p w:rsidR="00000000" w:rsidRPr="00676FE2" w:rsidP="00676FE2">
      <w:pPr>
        <w:pStyle w:val="ListBullet2"/>
      </w:pPr>
      <w:r w:rsidRPr="00676FE2">
        <w:t>mechanical tests - tensile, creep, coefficient of friction, wear resistance/abrasion and density</w:t>
      </w:r>
    </w:p>
    <w:p w:rsidR="00000000" w:rsidRPr="00676FE2" w:rsidP="00676FE2">
      <w:pPr>
        <w:pStyle w:val="ListBullet2"/>
      </w:pPr>
      <w:r w:rsidRPr="00676FE2">
        <w:t>chemical/analytical tests</w:t>
      </w:r>
    </w:p>
    <w:p w:rsidR="00000000" w:rsidRPr="00676FE2" w:rsidP="00676FE2">
      <w:pPr>
        <w:pStyle w:val="ListBullet2"/>
      </w:pPr>
      <w:r w:rsidRPr="00676FE2">
        <w:t>colour tests - colour coordinates (LAB), colour difference (dE)</w:t>
      </w:r>
    </w:p>
    <w:p w:rsidR="00000000" w:rsidRPr="00676FE2" w:rsidP="00676FE2">
      <w:pPr>
        <w:pStyle w:val="ListBullet"/>
      </w:pPr>
      <w:r w:rsidRPr="00676FE2">
        <w:t>properties and applications of materials and additives</w:t>
      </w:r>
    </w:p>
    <w:p w:rsidR="00000000" w:rsidRPr="00676FE2" w:rsidP="00676FE2">
      <w:pPr>
        <w:pStyle w:val="ListBullet"/>
      </w:pPr>
      <w:r w:rsidRPr="00676FE2">
        <w:t>organisation procedures relevant to the work environment/job role</w:t>
      </w:r>
    </w:p>
    <w:p w:rsidR="00000000" w:rsidRPr="00676FE2" w:rsidP="00676FE2">
      <w:pPr>
        <w:pStyle w:val="ListBullet"/>
      </w:pPr>
      <w:r w:rsidRPr="00676FE2">
        <w:t>hierarchy of control</w:t>
      </w:r>
    </w:p>
    <w:p w:rsidR="00000000" w:rsidRPr="00676FE2" w:rsidP="00676FE2">
      <w:pPr>
        <w:pStyle w:val="ListBullet"/>
      </w:pPr>
      <w:r w:rsidRPr="00676FE2">
        <w:t>hazards that may arise in the job/work environment and:</w:t>
      </w:r>
    </w:p>
    <w:p w:rsidR="00000000" w:rsidRPr="00676FE2" w:rsidP="00676FE2">
      <w:pPr>
        <w:pStyle w:val="ListBullet2"/>
      </w:pPr>
      <w:r w:rsidRPr="00676FE2">
        <w:t xml:space="preserve">their possible causes </w:t>
      </w:r>
    </w:p>
    <w:p w:rsidR="00000000" w:rsidRPr="00676FE2" w:rsidP="00676FE2">
      <w:pPr>
        <w:pStyle w:val="ListBullet2"/>
      </w:pPr>
      <w:r w:rsidRPr="00676FE2">
        <w:t>potential consequences</w:t>
      </w:r>
    </w:p>
    <w:p w:rsidR="00000000" w:rsidRPr="00676FE2" w:rsidP="00676FE2">
      <w:pPr>
        <w:pStyle w:val="ListBullet2"/>
      </w:pPr>
      <w:r w:rsidRPr="00676FE2">
        <w:t>appropriate</w:t>
      </w:r>
      <w:r w:rsidRPr="00676FE2">
        <w:t xml:space="preserve"> risk controls.</w:t>
      </w:r>
    </w:p>
    <w:p w:rsidR="00000000" w:rsidRPr="00676FE2" w:rsidP="00676FE2">
      <w:pPr>
        <w:pStyle w:val="AllowPageBreak"/>
      </w:pPr>
    </w:p>
    <w:p w:rsidR="00000000" w:rsidRPr="00676FE2" w:rsidP="00676FE2">
      <w:pPr>
        <w:pStyle w:val="Heading1"/>
      </w:pPr>
      <w:bookmarkStart w:id="4" w:name="O_929304"/>
      <w:bookmarkEnd w:id="4"/>
      <w:r w:rsidRPr="00676FE2">
        <w:t>Assessment Conditions</w:t>
      </w:r>
    </w:p>
    <w:p w:rsidR="00000000" w:rsidRPr="00676FE2" w:rsidP="00676FE2">
      <w:pPr>
        <w:pStyle w:val="ListBullet"/>
      </w:pPr>
      <w:r w:rsidRPr="00676FE2">
        <w:t xml:space="preserve">The unit should be assessed holistically and the judgement of competence shall be based on a holistic assessment of the evidence. </w:t>
      </w:r>
    </w:p>
    <w:p w:rsidR="00000000" w:rsidRPr="00676FE2" w:rsidP="00676FE2">
      <w:pPr>
        <w:pStyle w:val="ListBullet"/>
      </w:pPr>
      <w:r w:rsidRPr="00676FE2">
        <w:t>The collection of performance evidence is best done from a report and/or folio of evidence drawn from:</w:t>
      </w:r>
    </w:p>
    <w:p w:rsidR="00000000" w:rsidRPr="00676FE2" w:rsidP="00676FE2">
      <w:pPr>
        <w:pStyle w:val="ListBullet2"/>
      </w:pPr>
      <w:r w:rsidRPr="00676FE2">
        <w:t>a single project which provides sufficient evidence of the requirements of all the elements and performance criteria</w:t>
      </w:r>
    </w:p>
    <w:p w:rsidR="00000000" w:rsidRPr="00676FE2" w:rsidP="00676FE2">
      <w:pPr>
        <w:pStyle w:val="ListBullet2"/>
      </w:pPr>
      <w:r w:rsidRPr="00676FE2">
        <w:t>multiple smaller projects which tog</w:t>
      </w:r>
      <w:r w:rsidRPr="00676FE2">
        <w:t>ether provide sufficient evidence of the requirements of all the elements and performance criteria.</w:t>
      </w:r>
    </w:p>
    <w:p w:rsidR="00000000" w:rsidRPr="00676FE2" w:rsidP="00676FE2">
      <w:pPr>
        <w:pStyle w:val="ListBullet"/>
      </w:pPr>
      <w:r w:rsidRPr="00676FE2">
        <w:t>A third-party report, or similar, may be needed to testify to the work done by the individual, particularly when the project has been done as part of a pro</w:t>
      </w:r>
      <w:r w:rsidRPr="00676FE2">
        <w:t>ject team.</w:t>
      </w:r>
    </w:p>
    <w:p w:rsidR="00000000" w:rsidRPr="00676FE2" w:rsidP="00676FE2">
      <w:pPr>
        <w:pStyle w:val="ListBullet"/>
      </w:pPr>
      <w:r w:rsidRPr="00676FE2">
        <w:t>Assessment should use a real project in an operational workplace. Where this is not possible or where personal safety or environmental damage are limiting factors assessment must occur using a sufficiently rigorous simulated environment that ref</w:t>
      </w:r>
      <w:r w:rsidRPr="00676FE2">
        <w:t>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676FE2" w:rsidP="00676FE2">
      <w:pPr>
        <w:pStyle w:val="ListBullet"/>
      </w:pPr>
      <w:r w:rsidRPr="00676FE2">
        <w:t>Assessment in a simulated env</w:t>
      </w:r>
      <w:r w:rsidRPr="00676FE2">
        <w:t xml:space="preserve">ironment should use evidence collected from demonstration of skills and one or more of: </w:t>
      </w:r>
    </w:p>
    <w:p w:rsidR="00000000" w:rsidRPr="00676FE2" w:rsidP="00676FE2">
      <w:pPr>
        <w:pStyle w:val="ListBullet2"/>
      </w:pPr>
      <w:r w:rsidRPr="00676FE2">
        <w:t>walk-throughs</w:t>
      </w:r>
    </w:p>
    <w:p w:rsidR="00000000" w:rsidRPr="00676FE2" w:rsidP="00676FE2">
      <w:pPr>
        <w:pStyle w:val="ListBullet2"/>
      </w:pPr>
      <w:r w:rsidRPr="00676FE2">
        <w:t>pilot plant operation</w:t>
      </w:r>
    </w:p>
    <w:p w:rsidR="00000000" w:rsidRPr="00676FE2" w:rsidP="00676FE2">
      <w:pPr>
        <w:pStyle w:val="ListBullet2"/>
      </w:pPr>
      <w:r w:rsidRPr="00676FE2">
        <w:t xml:space="preserve">industry-based case studies/scenarios </w:t>
      </w:r>
    </w:p>
    <w:p w:rsidR="00000000" w:rsidRPr="00676FE2" w:rsidP="00676FE2">
      <w:pPr>
        <w:pStyle w:val="ListBullet2"/>
      </w:pPr>
      <w:r w:rsidRPr="00676FE2">
        <w:t>‘what ifs’.</w:t>
      </w:r>
    </w:p>
    <w:p w:rsidR="00000000" w:rsidRPr="00676FE2" w:rsidP="00676FE2">
      <w:pPr>
        <w:pStyle w:val="ListBullet"/>
      </w:pPr>
      <w:r w:rsidRPr="00676FE2">
        <w:t xml:space="preserve">Knowledge evidence may be collected concurrently with performance evidence or </w:t>
      </w:r>
      <w:r w:rsidRPr="00676FE2">
        <w:t>through an independent process, such as workbooks, written assessments or interviews.</w:t>
      </w:r>
    </w:p>
    <w:p w:rsidR="00000000" w:rsidRPr="00676FE2" w:rsidP="00676FE2">
      <w:pPr>
        <w:pStyle w:val="ListBullet"/>
      </w:pPr>
      <w:r w:rsidRPr="00676FE2">
        <w:t>Assessment processes and techniques must be appropriate to the language, literacy and numeracy requirements of the work being performed and the needs of the candidate.</w:t>
      </w:r>
    </w:p>
    <w:p w:rsidR="00000000" w:rsidRPr="00676FE2" w:rsidP="00676FE2">
      <w:pPr>
        <w:pStyle w:val="ListBullet"/>
      </w:pPr>
      <w:r w:rsidRPr="00676FE2">
        <w:t>Co</w:t>
      </w:r>
      <w:r w:rsidRPr="00676FE2">
        <w:t>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76FE2" w:rsidP="00676FE2">
      <w:pPr>
        <w:pStyle w:val="ListBullet"/>
      </w:pPr>
      <w:r w:rsidRPr="00676FE2">
        <w:t>The regulatory framework will be reflect</w:t>
      </w:r>
      <w:r w:rsidRPr="00676FE2">
        <w:t>ed in workplace policies and procedures and is not required to be independently assessed.</w:t>
      </w:r>
    </w:p>
    <w:p w:rsidR="00000000" w:rsidRPr="00676FE2" w:rsidP="00676FE2">
      <w:pPr>
        <w:pStyle w:val="ListBullet"/>
      </w:pPr>
      <w:r w:rsidRPr="00676FE2">
        <w:t>Foundation skills are integral to competent performance of the unit and should not be assessed separately.</w:t>
      </w:r>
    </w:p>
    <w:p w:rsidR="00000000" w:rsidRPr="00676FE2" w:rsidP="00676FE2">
      <w:pPr>
        <w:pStyle w:val="ListBullet"/>
      </w:pPr>
      <w:r w:rsidRPr="00676FE2">
        <w:t>Assessors must satisfy the assessor competency requirements that are in place at the time of the assessment as set by the VET regulator.</w:t>
      </w:r>
    </w:p>
    <w:p w:rsidR="00000000" w:rsidRPr="00676FE2" w:rsidP="00676FE2">
      <w:pPr>
        <w:pStyle w:val="ListBullet"/>
      </w:pPr>
      <w:r w:rsidRPr="00676FE2">
        <w:t xml:space="preserve">In addition the assessor or anyone acting in subject matter expert role in assessment shall demonstrate both technical </w:t>
      </w:r>
      <w:r w:rsidRPr="00676FE2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676FE2" w:rsidP="00676FE2">
      <w:pPr>
        <w:pStyle w:val="ListBullet"/>
      </w:pPr>
      <w:r w:rsidRPr="00676FE2">
        <w:t>Technical competence can be demonstrated through one or more of:</w:t>
      </w:r>
    </w:p>
    <w:p w:rsidR="00000000" w:rsidRPr="00676FE2" w:rsidP="00676FE2">
      <w:pPr>
        <w:pStyle w:val="ListBullet2"/>
      </w:pPr>
      <w:r w:rsidRPr="00676FE2">
        <w:t>relevant VET o</w:t>
      </w:r>
      <w:r w:rsidRPr="00676FE2">
        <w:t xml:space="preserve">r other qualification/Statement of Attainment </w:t>
      </w:r>
    </w:p>
    <w:p w:rsidR="00000000" w:rsidRPr="00676FE2" w:rsidP="00676FE2">
      <w:pPr>
        <w:pStyle w:val="ListBullet2"/>
      </w:pPr>
      <w:r w:rsidRPr="00676FE2">
        <w:t xml:space="preserve">appropriate workplace experience undertaking the type of work being assessed under routine and non-routine conditions </w:t>
      </w:r>
    </w:p>
    <w:p w:rsidR="00000000" w:rsidRPr="00676FE2" w:rsidP="00676FE2">
      <w:pPr>
        <w:pStyle w:val="ListBullet2"/>
      </w:pPr>
      <w:r w:rsidRPr="00676FE2">
        <w:t>appropriate workplace experience supervising/evaluating the type of work being assessed un</w:t>
      </w:r>
      <w:r w:rsidRPr="00676FE2">
        <w:t>der routine and non-routine conditions</w:t>
      </w:r>
    </w:p>
    <w:p w:rsidR="00000000" w:rsidRPr="00676FE2" w:rsidP="00676FE2">
      <w:pPr>
        <w:pStyle w:val="ListBullet"/>
      </w:pPr>
      <w:r w:rsidRPr="00676FE2">
        <w:t>Currency can be demonstrated through one or more of:</w:t>
      </w:r>
    </w:p>
    <w:p w:rsidR="00000000" w:rsidRPr="00676FE2" w:rsidP="00676FE2">
      <w:pPr>
        <w:pStyle w:val="ListBullet2"/>
      </w:pPr>
      <w:r w:rsidRPr="00676FE2">
        <w:t xml:space="preserve">being currently employed undertaking the type of work being assessed </w:t>
      </w:r>
    </w:p>
    <w:p w:rsidR="00000000" w:rsidRPr="00676FE2" w:rsidP="00676FE2">
      <w:pPr>
        <w:pStyle w:val="ListBullet2"/>
      </w:pPr>
      <w:r w:rsidRPr="00676FE2">
        <w:t>being employed by the organisation undertaking the type of work being assessed and having ma</w:t>
      </w:r>
      <w:r w:rsidRPr="00676FE2">
        <w:t xml:space="preserve">intained currency in accordance with that organisation’s policies and procedures </w:t>
      </w:r>
    </w:p>
    <w:p w:rsidR="00000000" w:rsidRPr="00676FE2" w:rsidP="00676FE2">
      <w:pPr>
        <w:pStyle w:val="ListBullet2"/>
      </w:pPr>
      <w:r w:rsidRPr="00676FE2">
        <w:t>having consulted/had contact with an organisation undertaking the type of work being assessed within the last twelve months, the consultation/contact being related to assessm</w:t>
      </w:r>
      <w:r w:rsidRPr="00676FE2">
        <w:t xml:space="preserve">ent </w:t>
      </w:r>
    </w:p>
    <w:p w:rsidR="00000000" w:rsidRPr="00676FE2" w:rsidP="00676FE2">
      <w:pPr>
        <w:pStyle w:val="ListBullet2"/>
      </w:pPr>
      <w:r w:rsidRPr="00676FE2">
        <w:t xml:space="preserve">conducting on the job training/assessments of the type of work being assessed </w:t>
      </w:r>
    </w:p>
    <w:p w:rsidR="00000000" w:rsidRPr="00676FE2" w:rsidP="00676FE2">
      <w:pPr>
        <w:pStyle w:val="ListBullet2"/>
      </w:pPr>
      <w:r w:rsidRPr="00676FE2">
        <w:t>being an active member of a relevant professional body and participating in activities relevant to the assessment of this type of work.</w:t>
      </w:r>
    </w:p>
    <w:p w:rsidR="00000000" w:rsidRPr="00676FE2" w:rsidP="00676FE2">
      <w:pPr>
        <w:pStyle w:val="AllowPageBreak"/>
      </w:pPr>
    </w:p>
    <w:p w:rsidR="00000000" w:rsidRPr="00676FE2" w:rsidP="00676FE2">
      <w:pPr>
        <w:pStyle w:val="Heading1"/>
      </w:pPr>
      <w:bookmarkStart w:id="5" w:name="O_929302"/>
      <w:bookmarkEnd w:id="5"/>
      <w:r w:rsidRPr="00676FE2">
        <w:t>Links</w:t>
      </w:r>
    </w:p>
    <w:p w:rsidR="00000000" w:rsidRPr="00676FE2" w:rsidP="00676FE2">
      <w:pPr>
        <w:pStyle w:val="BodyText"/>
      </w:pPr>
      <w:r w:rsidRPr="00676FE2">
        <w:t>MSA Training Package Implementation Guides - http://mskills.org.au/training-packages/info/</w:t>
      </w:r>
    </w:p>
    <w:p w:rsidR="00000000" w:rsidRPr="00676FE2" w:rsidP="00676FE2"/>
    <w:sectPr w:rsidSect="00676F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E2" w:rsidRPr="00D77200" w:rsidP="00D77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00" w:rsidP="00676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200" w:rsidP="00676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77200" w:rsidP="00676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E2" w:rsidRPr="00D77200" w:rsidP="00D772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00" w:rsidRPr="002D2AF8" w:rsidP="00676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PMC555031 Choose materials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77200" w:rsidP="00676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12A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BE2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708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FE2"/>
  </w:style>
  <w:style w:type="character" w:customStyle="1" w:styleId="Heading1Char">
    <w:name w:val="Heading 1 Char"/>
    <w:basedOn w:val="DefaultParagraphFont"/>
    <w:link w:val="Heading1"/>
    <w:rsid w:val="00676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F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FE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6F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6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FE2"/>
    <w:rPr>
      <w:b/>
      <w:spacing w:val="0"/>
    </w:rPr>
  </w:style>
  <w:style w:type="paragraph" w:customStyle="1" w:styleId="SuperTitle">
    <w:name w:val="SuperTitle"/>
    <w:basedOn w:val="Title"/>
    <w:rsid w:val="00676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FE2"/>
    <w:rPr>
      <w:i/>
    </w:rPr>
  </w:style>
  <w:style w:type="paragraph" w:styleId="Caption">
    <w:name w:val="caption"/>
    <w:basedOn w:val="BodyText"/>
    <w:next w:val="Normal"/>
    <w:qFormat/>
    <w:rsid w:val="00676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FE2"/>
  </w:style>
  <w:style w:type="paragraph" w:styleId="TableofFigures">
    <w:name w:val="table of figures"/>
    <w:basedOn w:val="Normal"/>
    <w:next w:val="Normal"/>
    <w:semiHidden/>
    <w:rsid w:val="00676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FE2"/>
    <w:pPr>
      <w:numPr>
        <w:numId w:val="11"/>
      </w:numPr>
    </w:pPr>
  </w:style>
  <w:style w:type="character" w:customStyle="1" w:styleId="WingdingSymbols">
    <w:name w:val="Wingding Symbols"/>
    <w:rsid w:val="00676FE2"/>
    <w:rPr>
      <w:rFonts w:ascii="Wingdings" w:hAnsi="Wingdings"/>
    </w:rPr>
  </w:style>
  <w:style w:type="paragraph" w:customStyle="1" w:styleId="TableHeading">
    <w:name w:val="Table Heading"/>
    <w:basedOn w:val="HeadingBase"/>
    <w:rsid w:val="00676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FE2"/>
    <w:rPr>
      <w:color w:val="0033CC"/>
      <w:u w:val="none"/>
    </w:rPr>
  </w:style>
  <w:style w:type="paragraph" w:customStyle="1" w:styleId="BodyTextRight">
    <w:name w:val="Body Text Right"/>
    <w:basedOn w:val="BodyText"/>
    <w:rsid w:val="00676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F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FE2"/>
    <w:rPr>
      <w:sz w:val="32"/>
    </w:rPr>
  </w:style>
  <w:style w:type="paragraph" w:customStyle="1" w:styleId="HeadingProcedure">
    <w:name w:val="Heading Procedure"/>
    <w:basedOn w:val="HeadingBase"/>
    <w:next w:val="Normal"/>
    <w:rsid w:val="00676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FE2"/>
    <w:pPr>
      <w:spacing w:before="60" w:after="60"/>
    </w:pPr>
  </w:style>
  <w:style w:type="paragraph" w:styleId="ListContinue">
    <w:name w:val="List Continue"/>
    <w:basedOn w:val="List"/>
    <w:rsid w:val="00676FE2"/>
    <w:pPr>
      <w:ind w:firstLine="0"/>
    </w:pPr>
  </w:style>
  <w:style w:type="paragraph" w:customStyle="1" w:styleId="ListNote">
    <w:name w:val="List Note"/>
    <w:basedOn w:val="List"/>
    <w:rsid w:val="00676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FE2"/>
    <w:rPr>
      <w:rFonts w:ascii="Courier New" w:hAnsi="Courier New"/>
    </w:rPr>
  </w:style>
  <w:style w:type="paragraph" w:customStyle="1" w:styleId="NoteBullet">
    <w:name w:val="Note Bullet"/>
    <w:basedOn w:val="Note"/>
    <w:rsid w:val="00676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F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6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FE2"/>
    <w:rPr>
      <w:b/>
      <w:smallCaps/>
    </w:rPr>
  </w:style>
  <w:style w:type="paragraph" w:customStyle="1" w:styleId="TableListNumber">
    <w:name w:val="Table List Number"/>
    <w:basedOn w:val="ListNumber"/>
    <w:rsid w:val="00676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FE2"/>
    <w:pPr>
      <w:numPr>
        <w:numId w:val="9"/>
      </w:numPr>
    </w:pPr>
  </w:style>
  <w:style w:type="paragraph" w:customStyle="1" w:styleId="ListAlpha2">
    <w:name w:val="List Alpha 2"/>
    <w:basedOn w:val="List2"/>
    <w:rsid w:val="00676FE2"/>
    <w:pPr>
      <w:numPr>
        <w:numId w:val="8"/>
      </w:numPr>
    </w:pPr>
  </w:style>
  <w:style w:type="paragraph" w:styleId="List2">
    <w:name w:val="List 2"/>
    <w:basedOn w:val="BodyText"/>
    <w:rsid w:val="00676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F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F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FE2"/>
    <w:pPr>
      <w:numPr>
        <w:numId w:val="4"/>
      </w:numPr>
    </w:pPr>
  </w:style>
  <w:style w:type="paragraph" w:styleId="ListContinue2">
    <w:name w:val="List Continue 2"/>
    <w:basedOn w:val="List2"/>
    <w:rsid w:val="00676FE2"/>
    <w:pPr>
      <w:ind w:firstLine="0"/>
    </w:pPr>
  </w:style>
  <w:style w:type="paragraph" w:styleId="ListContinue3">
    <w:name w:val="List Continue 3"/>
    <w:basedOn w:val="List3"/>
    <w:rsid w:val="00676FE2"/>
    <w:pPr>
      <w:ind w:left="1021" w:firstLine="0"/>
    </w:pPr>
  </w:style>
  <w:style w:type="paragraph" w:styleId="ListContinue4">
    <w:name w:val="List Continue 4"/>
    <w:basedOn w:val="List4"/>
    <w:rsid w:val="00676FE2"/>
    <w:pPr>
      <w:ind w:firstLine="0"/>
    </w:pPr>
  </w:style>
  <w:style w:type="paragraph" w:styleId="ListContinue5">
    <w:name w:val="List Continue 5"/>
    <w:basedOn w:val="List5"/>
    <w:rsid w:val="00676FE2"/>
    <w:pPr>
      <w:ind w:firstLine="0"/>
    </w:pPr>
  </w:style>
  <w:style w:type="paragraph" w:styleId="ListNumber3">
    <w:name w:val="List Number 3"/>
    <w:basedOn w:val="List3"/>
    <w:rsid w:val="00676FE2"/>
    <w:pPr>
      <w:numPr>
        <w:numId w:val="5"/>
      </w:numPr>
    </w:pPr>
  </w:style>
  <w:style w:type="paragraph" w:styleId="ListNumber4">
    <w:name w:val="List Number 4"/>
    <w:basedOn w:val="List4"/>
    <w:rsid w:val="00676FE2"/>
    <w:pPr>
      <w:numPr>
        <w:numId w:val="6"/>
      </w:numPr>
    </w:pPr>
  </w:style>
  <w:style w:type="paragraph" w:styleId="ListNumber5">
    <w:name w:val="List Number 5"/>
    <w:basedOn w:val="List5"/>
    <w:rsid w:val="00676FE2"/>
    <w:pPr>
      <w:numPr>
        <w:numId w:val="7"/>
      </w:numPr>
    </w:pPr>
  </w:style>
  <w:style w:type="paragraph" w:styleId="BlockText">
    <w:name w:val="Block Text"/>
    <w:basedOn w:val="Normal"/>
    <w:rsid w:val="00676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FE2"/>
    <w:rPr>
      <w:sz w:val="16"/>
      <w:vertAlign w:val="superscript"/>
    </w:rPr>
  </w:style>
  <w:style w:type="character" w:customStyle="1" w:styleId="Symbols">
    <w:name w:val="Symbols"/>
    <w:basedOn w:val="DefaultParagraphFont"/>
    <w:rsid w:val="00676FE2"/>
    <w:rPr>
      <w:rFonts w:ascii="Symbol" w:hAnsi="Symbol"/>
    </w:rPr>
  </w:style>
  <w:style w:type="character" w:customStyle="1" w:styleId="MenuOptions">
    <w:name w:val="Menu Options"/>
    <w:basedOn w:val="DefaultParagraphFont"/>
    <w:rsid w:val="00676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FE2"/>
    <w:rPr>
      <w:b/>
    </w:rPr>
  </w:style>
  <w:style w:type="character" w:customStyle="1" w:styleId="Underlined">
    <w:name w:val="Underlined"/>
    <w:basedOn w:val="DefaultParagraphFont"/>
    <w:rsid w:val="00676FE2"/>
    <w:rPr>
      <w:u w:val="single"/>
    </w:rPr>
  </w:style>
  <w:style w:type="paragraph" w:customStyle="1" w:styleId="TableBodyTextRight">
    <w:name w:val="Table Body Text Right"/>
    <w:basedOn w:val="TableBodyText"/>
    <w:rsid w:val="00676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FE2"/>
    <w:rPr>
      <w:sz w:val="18"/>
    </w:rPr>
  </w:style>
  <w:style w:type="paragraph" w:customStyle="1" w:styleId="BodySmallRight">
    <w:name w:val="Body Small Right"/>
    <w:basedOn w:val="BodyTextRight"/>
    <w:rsid w:val="00676FE2"/>
    <w:rPr>
      <w:sz w:val="18"/>
      <w:szCs w:val="18"/>
    </w:rPr>
  </w:style>
  <w:style w:type="paragraph" w:customStyle="1" w:styleId="MarginEdition">
    <w:name w:val="Margin Edition"/>
    <w:basedOn w:val="MarginNote"/>
    <w:rsid w:val="00676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FE2"/>
    <w:rPr>
      <w:sz w:val="2"/>
      <w:szCs w:val="2"/>
    </w:rPr>
  </w:style>
  <w:style w:type="character" w:customStyle="1" w:styleId="Small">
    <w:name w:val="Small"/>
    <w:basedOn w:val="DefaultParagraphFont"/>
    <w:rsid w:val="00676FE2"/>
    <w:rPr>
      <w:sz w:val="16"/>
    </w:rPr>
  </w:style>
  <w:style w:type="paragraph" w:customStyle="1" w:styleId="WideTable">
    <w:name w:val="Wide Table"/>
    <w:basedOn w:val="Normal"/>
    <w:rsid w:val="00676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FE2"/>
  </w:style>
  <w:style w:type="paragraph" w:styleId="Quote">
    <w:name w:val="Quote"/>
    <w:basedOn w:val="Heading1"/>
    <w:link w:val="QuoteChar"/>
    <w:qFormat/>
    <w:rsid w:val="00676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FE2"/>
    <w:pPr>
      <w:pageBreakBefore/>
    </w:pPr>
  </w:style>
  <w:style w:type="paragraph" w:customStyle="1" w:styleId="Border">
    <w:name w:val="Border"/>
    <w:basedOn w:val="Normal"/>
    <w:qFormat/>
    <w:rsid w:val="00676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FE2"/>
    <w:rPr>
      <w:u w:val="single"/>
    </w:rPr>
  </w:style>
  <w:style w:type="character" w:customStyle="1" w:styleId="BoldandItalics">
    <w:name w:val="Bold and Italics"/>
    <w:qFormat/>
    <w:rsid w:val="00676FE2"/>
    <w:rPr>
      <w:b/>
      <w:i/>
      <w:u w:val="none"/>
    </w:rPr>
  </w:style>
  <w:style w:type="paragraph" w:styleId="BalloonText">
    <w:name w:val="Balloon Text"/>
    <w:basedOn w:val="Normal"/>
    <w:link w:val="BalloonTextChar"/>
    <w:rsid w:val="00676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F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F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5193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PMC555031 Choose materials for an application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2016-06-22T09:08:00Z</dcterms:created>
  <dcterms:modified xsi:type="dcterms:W3CDTF">2016-06-22T09:08:00Z</dcterms:modified>
</cp:coreProperties>
</file>