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0F89" w:rsidP="00AD0F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PMC554091 Analyse refractory failures</w:t>
      </w:r>
      <w:r>
        <w:fldChar w:fldCharType="end"/>
      </w:r>
    </w:p>
    <w:p w:rsidR="00AD0F89" w:rsidP="00AD0F89">
      <w:pPr>
        <w:pStyle w:val="Version"/>
        <w:sectPr w:rsidSect="00ED4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FE3" w:rsidP="00ED4FE3">
      <w:pPr>
        <w:pStyle w:val="SuperHeading"/>
      </w:pPr>
      <w:r w:rsidRPr="00ED4FE3">
        <w:t>PMC554091 Analyse refractory failures</w:t>
      </w:r>
    </w:p>
    <w:p w:rsidR="00000000" w:rsidRPr="00ED4FE3" w:rsidP="00ED4FE3">
      <w:pPr>
        <w:pStyle w:val="Heading1"/>
      </w:pPr>
      <w:bookmarkStart w:id="1" w:name="O_929193"/>
      <w:bookmarkEnd w:id="1"/>
      <w:r w:rsidRPr="00ED4FE3">
        <w:t>Modification History</w:t>
      </w:r>
    </w:p>
    <w:p w:rsidR="00000000" w:rsidRPr="00ED4FE3" w:rsidP="00ED4FE3">
      <w:pPr>
        <w:pStyle w:val="BodyText"/>
      </w:pPr>
      <w:r w:rsidRPr="00ED4FE3">
        <w:t xml:space="preserve">Release 1. Supersedes and is equivalent to PMC554091B Analyse refractory failures. </w:t>
      </w: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2" w:name="O_929201"/>
      <w:bookmarkEnd w:id="2"/>
      <w:r w:rsidRPr="00ED4FE3">
        <w:t>Application</w:t>
      </w:r>
    </w:p>
    <w:p w:rsidR="00000000" w:rsidRPr="00ED4FE3" w:rsidP="00ED4FE3">
      <w:pPr>
        <w:pStyle w:val="BodyText"/>
      </w:pPr>
      <w:r w:rsidRPr="00ED4FE3">
        <w:t>This unit of competency covers the skills and knowledge required to analyse refractory failures to determine failure mode.</w:t>
      </w:r>
    </w:p>
    <w:p w:rsidR="00000000" w:rsidRPr="00ED4FE3" w:rsidP="00ED4FE3">
      <w:pPr>
        <w:pStyle w:val="BodyText"/>
      </w:pPr>
    </w:p>
    <w:p w:rsidR="00000000" w:rsidRPr="00ED4FE3" w:rsidP="00ED4FE3">
      <w:pPr>
        <w:pStyle w:val="BodyText"/>
      </w:pPr>
      <w:r w:rsidRPr="00ED4FE3">
        <w:t>This unit of competency applies to operators who are required to identify and analyse failure mode, organise simple testwork programs and make recommendations based on evidence.</w:t>
      </w:r>
    </w:p>
    <w:p w:rsidR="00000000" w:rsidRPr="00ED4FE3" w:rsidP="00ED4FE3">
      <w:pPr>
        <w:pStyle w:val="BodyText"/>
      </w:pPr>
    </w:p>
    <w:p w:rsidR="00000000" w:rsidRPr="00ED4FE3" w:rsidP="00ED4FE3">
      <w:pPr>
        <w:pStyle w:val="BodyText"/>
      </w:pPr>
      <w:r w:rsidRPr="00ED4FE3">
        <w:t>This unit of competency applies to technician applying specialised theoreti</w:t>
      </w:r>
      <w:r w:rsidRPr="00ED4FE3">
        <w:t>cal and technical knowledge and well developed skills in situations that require autonomy, discretion and judgement. The person may work alone or as a member of a team or group and will work in liaison with customers, installers, engineers and technical ex</w:t>
      </w:r>
      <w:r w:rsidRPr="00ED4FE3">
        <w:t>perts, as appropriate.</w:t>
      </w:r>
    </w:p>
    <w:p w:rsidR="00000000" w:rsidRPr="00ED4FE3" w:rsidP="00ED4FE3">
      <w:pPr>
        <w:pStyle w:val="BodyText"/>
      </w:pPr>
    </w:p>
    <w:p w:rsidR="00000000" w:rsidRPr="00ED4FE3" w:rsidP="00ED4FE3">
      <w:pPr>
        <w:pStyle w:val="BodyText"/>
      </w:pPr>
      <w:r w:rsidRPr="00ED4FE3">
        <w:t>No licensing, legislative or certification requirements apply to this unit at the time of publication.</w:t>
      </w: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3" w:name="O_929200"/>
      <w:bookmarkEnd w:id="3"/>
      <w:r w:rsidRPr="00ED4FE3">
        <w:t>Pre-requisite Unit</w:t>
      </w:r>
    </w:p>
    <w:p w:rsidR="00000000" w:rsidRPr="00ED4FE3" w:rsidP="00ED4FE3">
      <w:pPr>
        <w:pStyle w:val="BodyText"/>
      </w:pPr>
      <w:r w:rsidRPr="00ED4FE3">
        <w:t>Nil</w:t>
      </w: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4" w:name="O_929199"/>
      <w:bookmarkEnd w:id="4"/>
      <w:r w:rsidRPr="00ED4FE3">
        <w:t>Competency Field</w:t>
      </w:r>
    </w:p>
    <w:p w:rsidR="00000000" w:rsidRPr="00ED4FE3" w:rsidP="00ED4FE3">
      <w:pPr>
        <w:pStyle w:val="BodyText"/>
      </w:pPr>
      <w:r w:rsidRPr="00ED4FE3">
        <w:t>Technical</w:t>
      </w: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5" w:name="O_929198"/>
      <w:bookmarkEnd w:id="5"/>
      <w:r w:rsidRPr="00ED4FE3">
        <w:t>Unit Sector</w:t>
      </w:r>
    </w:p>
    <w:p w:rsidR="00000000" w:rsidRPr="00ED4FE3" w:rsidP="00ED4FE3">
      <w:pPr>
        <w:pStyle w:val="BodyText"/>
      </w:pPr>
      <w:r w:rsidRPr="00ED4FE3">
        <w:t>Not applicable</w:t>
      </w: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6" w:name="O_929197"/>
      <w:bookmarkEnd w:id="6"/>
      <w:r w:rsidRPr="00ED4F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Performance criteria describe the performance needed to demonstrate achievement of the element.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E3" w:rsidP="00ED4FE3">
            <w:pPr>
              <w:pStyle w:val="BodyText"/>
            </w:pPr>
            <w:r w:rsidRPr="00ED4FE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rPr>
                <w:rStyle w:val="SpecialBold"/>
              </w:rPr>
              <w:t>Establish the suitability of resources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Check all information conforms with resources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Record discrepancies in information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 xml:space="preserve">Report any inaccuracies in information to the person in </w:t>
            </w:r>
            <w:r w:rsidRPr="00ED4FE3">
              <w:t>charge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Identify and select materials, components, tools and equipment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E3" w:rsidP="00ED4FE3">
            <w:pPr>
              <w:pStyle w:val="BodyText"/>
            </w:pPr>
            <w:r w:rsidRPr="00ED4FE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rPr>
                <w:rStyle w:val="SpecialBold"/>
              </w:rPr>
              <w:t>Analyse failure modes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Identify spalling modes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Identify corrosion mode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Identify abrasion modes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Identify impact/compression/tensile modes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E3" w:rsidP="00ED4FE3">
            <w:pPr>
              <w:pStyle w:val="BodyText"/>
            </w:pPr>
            <w:r w:rsidRPr="00ED4FE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rPr>
                <w:rStyle w:val="SpecialBold"/>
              </w:rPr>
              <w:t>Undertake forensic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Plan required investigation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Specify required testwork/analyses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Interpret test results</w:t>
            </w:r>
          </w:p>
        </w:tc>
      </w:tr>
      <w:tr w:rsidTr="00ED4F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E3" w:rsidP="00ED4FE3">
            <w:pPr>
              <w:pStyle w:val="BodyText"/>
            </w:pPr>
            <w:r w:rsidRPr="00ED4FE3">
              <w:t>Formulate simple reports</w:t>
            </w:r>
          </w:p>
        </w:tc>
      </w:tr>
    </w:tbl>
    <w:p w:rsidR="00000000" w:rsidRPr="00ED4FE3" w:rsidP="00ED4FE3">
      <w:pPr>
        <w:pStyle w:val="BodyText"/>
      </w:pP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7" w:name="O_929196"/>
      <w:bookmarkEnd w:id="7"/>
      <w:r w:rsidRPr="00ED4FE3">
        <w:t>Foundation Skills</w:t>
      </w:r>
    </w:p>
    <w:p w:rsidR="00000000" w:rsidRPr="00ED4FE3" w:rsidP="00ED4FE3">
      <w:pPr>
        <w:pStyle w:val="BodyText"/>
      </w:pPr>
      <w:r w:rsidRPr="00ED4FE3">
        <w:t>This section describes those required skills (language, literacy and numeracy) that are essential to performance.</w:t>
      </w:r>
    </w:p>
    <w:p w:rsidR="00000000" w:rsidRPr="00ED4FE3" w:rsidP="00ED4FE3">
      <w:pPr>
        <w:pStyle w:val="BodyText"/>
      </w:pPr>
    </w:p>
    <w:p w:rsidR="00000000" w:rsidRPr="00ED4FE3" w:rsidP="00ED4FE3">
      <w:pPr>
        <w:pStyle w:val="BodyText"/>
      </w:pPr>
      <w:r w:rsidRPr="00ED4FE3">
        <w:t>Foundation skills essential to performance are explicit in the performance criteria of this unit of competency.</w:t>
      </w: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8" w:name="O_929195"/>
      <w:bookmarkEnd w:id="8"/>
      <w:r w:rsidRPr="00ED4FE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AD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t>This field allows for different work environments and conditions that may affect performance. Essential ope</w:t>
            </w:r>
            <w:r w:rsidRPr="00ED4FE3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D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E3" w:rsidP="00ED4FE3">
            <w:pPr>
              <w:pStyle w:val="BodyText"/>
            </w:pPr>
            <w:r w:rsidRPr="00ED4FE3">
              <w:rPr>
                <w:rStyle w:val="SpecialBold"/>
              </w:rPr>
              <w:t>Regulatory framework</w:t>
            </w:r>
            <w:r w:rsidRPr="00ED4FE3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E3" w:rsidP="00ED4FE3">
            <w:pPr>
              <w:pStyle w:val="BodyText"/>
            </w:pPr>
            <w:r w:rsidRPr="00ED4FE3">
              <w:t xml:space="preserve">The latest version of all legislation, regulations, </w:t>
            </w:r>
            <w:r w:rsidRPr="00ED4FE3">
              <w:t>industry codes of practice and Australian/international standards, or the version specified by the local regulatory authority, must be used.</w:t>
            </w:r>
          </w:p>
          <w:p w:rsidR="00000000" w:rsidRPr="00ED4FE3" w:rsidP="00ED4FE3">
            <w:pPr>
              <w:pStyle w:val="BodyText"/>
            </w:pPr>
          </w:p>
          <w:p w:rsidR="00000000" w:rsidRPr="00ED4FE3" w:rsidP="00ED4FE3">
            <w:pPr>
              <w:pStyle w:val="BodyText"/>
            </w:pPr>
            <w:r w:rsidRPr="00ED4FE3">
              <w:t>Applicable legislation, regulations, standards and codes of practice include:</w:t>
            </w:r>
          </w:p>
          <w:p w:rsidR="00000000" w:rsidRPr="00ED4FE3" w:rsidP="00ED4FE3">
            <w:pPr>
              <w:pStyle w:val="ListBullet"/>
            </w:pPr>
            <w:r w:rsidRPr="00ED4FE3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ED4FE3" w:rsidP="00ED4FE3">
            <w:pPr>
              <w:pStyle w:val="ListBullet"/>
            </w:pPr>
            <w:r w:rsidRPr="00ED4FE3">
              <w:t>Australian/international standards relevant to the materials being used and products</w:t>
            </w:r>
            <w:r w:rsidRPr="00ED4FE3">
              <w:t xml:space="preserve"> being made </w:t>
            </w:r>
          </w:p>
          <w:p w:rsidR="00000000" w:rsidRPr="00ED4FE3" w:rsidP="00ED4FE3">
            <w:pPr>
              <w:pStyle w:val="ListBullet"/>
            </w:pPr>
            <w:r w:rsidRPr="00ED4FE3">
              <w:t>any relevant licence and certification requirements.</w:t>
            </w:r>
          </w:p>
          <w:p w:rsidR="00000000" w:rsidRPr="00ED4FE3" w:rsidP="00ED4FE3">
            <w:pPr>
              <w:pStyle w:val="BodyText"/>
            </w:pPr>
          </w:p>
          <w:p w:rsidR="00000000" w:rsidRPr="00ED4FE3" w:rsidP="00ED4FE3">
            <w:pPr>
              <w:pStyle w:val="BodyText"/>
            </w:pPr>
            <w:r w:rsidRPr="00ED4FE3">
              <w:t>All operations to which this unit applies are subject to stringent HSE requirements, which may be imposed through state/territory or federal legislation, and these must not be compromised a</w:t>
            </w:r>
            <w:r w:rsidRPr="00ED4FE3">
              <w:t>t any time. Where there is an apparent conflict between performance criteria and such requirements the legislative requirements take precedence.</w:t>
            </w:r>
          </w:p>
          <w:p w:rsidR="00000000" w:rsidP="00ED4FE3">
            <w:pPr>
              <w:pStyle w:val="BodyText"/>
              <w:rPr>
                <w:lang w:val="en-NZ"/>
              </w:rPr>
            </w:pPr>
          </w:p>
        </w:tc>
      </w:tr>
      <w:tr w:rsidTr="00AD0F8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FE3">
            <w:pPr>
              <w:pStyle w:val="BodyText"/>
              <w:rPr>
                <w:lang w:val="en-NZ"/>
              </w:rPr>
            </w:pPr>
            <w:r w:rsidRPr="00ED4FE3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FE3" w:rsidP="00ED4FE3">
            <w:pPr>
              <w:pStyle w:val="BodyText"/>
            </w:pPr>
            <w:r w:rsidRPr="00ED4FE3">
              <w:t>Hazards must be identified and controlled. Identifying hazards requires consideration of:</w:t>
            </w:r>
          </w:p>
          <w:p w:rsidR="00000000" w:rsidRPr="00ED4FE3" w:rsidP="00ED4FE3">
            <w:pPr>
              <w:pStyle w:val="ListBullet"/>
            </w:pPr>
            <w:r w:rsidRPr="00ED4FE3">
              <w:t>health and</w:t>
            </w:r>
            <w:r w:rsidRPr="00ED4FE3">
              <w:t xml:space="preserve"> safety risks</w:t>
            </w:r>
          </w:p>
          <w:p w:rsidR="00000000" w:rsidRPr="00ED4FE3" w:rsidP="00ED4FE3">
            <w:pPr>
              <w:pStyle w:val="ListBullet"/>
            </w:pPr>
            <w:r w:rsidRPr="00ED4FE3">
              <w:t>sustainability risks</w:t>
            </w:r>
          </w:p>
          <w:p w:rsidR="00000000" w:rsidRPr="00ED4FE3" w:rsidP="00ED4FE3">
            <w:pPr>
              <w:pStyle w:val="ListBullet"/>
            </w:pPr>
            <w:r w:rsidRPr="00ED4FE3">
              <w:t>regulatory risks.</w:t>
            </w:r>
          </w:p>
        </w:tc>
      </w:tr>
    </w:tbl>
    <w:p w:rsidR="00000000" w:rsidRPr="00ED4FE3" w:rsidP="00ED4FE3">
      <w:pPr>
        <w:pStyle w:val="BodyText"/>
      </w:pP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9" w:name="O_929194"/>
      <w:bookmarkEnd w:id="9"/>
      <w:r w:rsidRPr="00ED4FE3">
        <w:t>Unit Mapping Information</w:t>
      </w:r>
    </w:p>
    <w:p w:rsidR="00000000" w:rsidRPr="00ED4FE3" w:rsidP="00ED4FE3">
      <w:pPr>
        <w:pStyle w:val="BodyText"/>
      </w:pPr>
      <w:r w:rsidRPr="00ED4FE3">
        <w:t xml:space="preserve">Release 1. Supersedes and is equivalent to PMC554091B Analyse refractory failures. </w:t>
      </w:r>
    </w:p>
    <w:p w:rsidR="00000000" w:rsidRPr="00ED4FE3" w:rsidP="00ED4FE3">
      <w:pPr>
        <w:pStyle w:val="AllowPageBreak"/>
      </w:pPr>
    </w:p>
    <w:p w:rsidR="00000000" w:rsidRPr="00ED4FE3" w:rsidP="00ED4FE3">
      <w:pPr>
        <w:pStyle w:val="Heading1"/>
      </w:pPr>
      <w:bookmarkStart w:id="10" w:name="O_929187"/>
      <w:bookmarkEnd w:id="10"/>
      <w:r w:rsidRPr="00ED4FE3">
        <w:t>Links</w:t>
      </w:r>
    </w:p>
    <w:p w:rsidR="00000000" w:rsidRPr="00ED4FE3" w:rsidP="00ED4FE3">
      <w:pPr>
        <w:pStyle w:val="BodyText"/>
      </w:pPr>
      <w:r w:rsidRPr="00ED4FE3">
        <w:t>Companion Volume implementation guides are found in VETNet - https://vetnet.education.gov.au/Pages/TrainingDocs.aspx?q=45a7f1d5-61a5-447a-9688-7abbd7e1a5c7</w:t>
      </w:r>
    </w:p>
    <w:p w:rsidR="00000000" w:rsidRPr="00ED4FE3" w:rsidP="00ED4FE3"/>
    <w:sectPr w:rsidSect="00ED4F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E3" w:rsidRPr="00AD0F89" w:rsidP="00AD0F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89" w:rsidP="00ED4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0F89" w:rsidP="00ED4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D0F89" w:rsidP="00ED4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FE3" w:rsidRPr="00AD0F89" w:rsidP="00AD0F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F89" w:rsidRPr="002D2AF8" w:rsidP="00ED4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PMC554091 Analyse refractory failures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2017</w:t>
    </w:r>
    <w:r>
      <w:fldChar w:fldCharType="end"/>
    </w:r>
  </w:p>
  <w:p w:rsidR="00AD0F89" w:rsidP="00ED4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3E96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EAE4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FE3"/>
  </w:style>
  <w:style w:type="character" w:customStyle="1" w:styleId="Heading1Char">
    <w:name w:val="Heading 1 Char"/>
    <w:basedOn w:val="DefaultParagraphFont"/>
    <w:link w:val="Heading1"/>
    <w:rsid w:val="00ED4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FE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F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F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FE3"/>
    <w:rPr>
      <w:b/>
      <w:spacing w:val="0"/>
    </w:rPr>
  </w:style>
  <w:style w:type="paragraph" w:customStyle="1" w:styleId="SuperHeading">
    <w:name w:val="SuperHeading"/>
    <w:basedOn w:val="Normal"/>
    <w:rsid w:val="00ED4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F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F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FE3"/>
    <w:rPr>
      <w:i/>
    </w:rPr>
  </w:style>
  <w:style w:type="paragraph" w:styleId="Caption">
    <w:name w:val="caption"/>
    <w:basedOn w:val="BodyText"/>
    <w:next w:val="Normal"/>
    <w:qFormat/>
    <w:rsid w:val="00ED4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FE3"/>
  </w:style>
  <w:style w:type="paragraph" w:styleId="TableofFigures">
    <w:name w:val="table of figures"/>
    <w:basedOn w:val="Normal"/>
    <w:next w:val="Normal"/>
    <w:semiHidden/>
    <w:rsid w:val="00ED4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FE3"/>
    <w:pPr>
      <w:numPr>
        <w:numId w:val="10"/>
      </w:numPr>
    </w:pPr>
  </w:style>
  <w:style w:type="character" w:customStyle="1" w:styleId="WingdingSymbols">
    <w:name w:val="Wingding Symbols"/>
    <w:rsid w:val="00ED4FE3"/>
    <w:rPr>
      <w:rFonts w:ascii="Wingdings" w:hAnsi="Wingdings"/>
    </w:rPr>
  </w:style>
  <w:style w:type="paragraph" w:customStyle="1" w:styleId="TableHeading">
    <w:name w:val="Table Heading"/>
    <w:basedOn w:val="HeadingBase"/>
    <w:rsid w:val="00ED4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FE3"/>
    <w:rPr>
      <w:color w:val="0033CC"/>
      <w:u w:val="none"/>
    </w:rPr>
  </w:style>
  <w:style w:type="paragraph" w:customStyle="1" w:styleId="BodyTextRight">
    <w:name w:val="Body Text Right"/>
    <w:basedOn w:val="BodyText"/>
    <w:rsid w:val="00ED4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F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FE3"/>
    <w:rPr>
      <w:sz w:val="32"/>
    </w:rPr>
  </w:style>
  <w:style w:type="paragraph" w:customStyle="1" w:styleId="HeadingProcedure">
    <w:name w:val="Heading Procedure"/>
    <w:basedOn w:val="HeadingBase"/>
    <w:next w:val="Normal"/>
    <w:rsid w:val="00ED4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FE3"/>
    <w:pPr>
      <w:spacing w:before="60" w:after="60"/>
    </w:pPr>
  </w:style>
  <w:style w:type="paragraph" w:styleId="ListContinue">
    <w:name w:val="List Continue"/>
    <w:basedOn w:val="List"/>
    <w:rsid w:val="00ED4FE3"/>
    <w:pPr>
      <w:ind w:firstLine="0"/>
    </w:pPr>
  </w:style>
  <w:style w:type="paragraph" w:customStyle="1" w:styleId="ListNote">
    <w:name w:val="List Note"/>
    <w:basedOn w:val="List"/>
    <w:rsid w:val="00ED4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FE3"/>
    <w:rPr>
      <w:rFonts w:ascii="Courier New" w:hAnsi="Courier New"/>
    </w:rPr>
  </w:style>
  <w:style w:type="paragraph" w:customStyle="1" w:styleId="NoteBullet">
    <w:name w:val="Note Bullet"/>
    <w:basedOn w:val="Note"/>
    <w:rsid w:val="00ED4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F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FE3"/>
    <w:rPr>
      <w:b/>
      <w:smallCaps/>
    </w:rPr>
  </w:style>
  <w:style w:type="paragraph" w:customStyle="1" w:styleId="TableListNumber">
    <w:name w:val="Table List Number"/>
    <w:basedOn w:val="ListNumber"/>
    <w:rsid w:val="00ED4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FE3"/>
    <w:pPr>
      <w:numPr>
        <w:numId w:val="8"/>
      </w:numPr>
    </w:pPr>
  </w:style>
  <w:style w:type="paragraph" w:customStyle="1" w:styleId="ListAlpha2">
    <w:name w:val="List Alpha 2"/>
    <w:basedOn w:val="List2"/>
    <w:rsid w:val="00ED4FE3"/>
    <w:pPr>
      <w:numPr>
        <w:numId w:val="7"/>
      </w:numPr>
    </w:pPr>
  </w:style>
  <w:style w:type="paragraph" w:styleId="List2">
    <w:name w:val="List 2"/>
    <w:basedOn w:val="BodyText"/>
    <w:rsid w:val="00ED4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F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F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FE3"/>
    <w:pPr>
      <w:numPr>
        <w:numId w:val="3"/>
      </w:numPr>
    </w:pPr>
  </w:style>
  <w:style w:type="paragraph" w:styleId="ListContinue2">
    <w:name w:val="List Continue 2"/>
    <w:basedOn w:val="List2"/>
    <w:rsid w:val="00ED4FE3"/>
    <w:pPr>
      <w:ind w:firstLine="0"/>
    </w:pPr>
  </w:style>
  <w:style w:type="paragraph" w:styleId="ListContinue3">
    <w:name w:val="List Continue 3"/>
    <w:basedOn w:val="List3"/>
    <w:rsid w:val="00ED4FE3"/>
    <w:pPr>
      <w:ind w:left="1021" w:firstLine="0"/>
    </w:pPr>
  </w:style>
  <w:style w:type="paragraph" w:styleId="ListContinue4">
    <w:name w:val="List Continue 4"/>
    <w:basedOn w:val="List4"/>
    <w:rsid w:val="00ED4FE3"/>
    <w:pPr>
      <w:ind w:firstLine="0"/>
    </w:pPr>
  </w:style>
  <w:style w:type="paragraph" w:styleId="ListContinue5">
    <w:name w:val="List Continue 5"/>
    <w:basedOn w:val="List5"/>
    <w:rsid w:val="00ED4FE3"/>
    <w:pPr>
      <w:ind w:firstLine="0"/>
    </w:pPr>
  </w:style>
  <w:style w:type="paragraph" w:styleId="ListNumber3">
    <w:name w:val="List Number 3"/>
    <w:basedOn w:val="List3"/>
    <w:rsid w:val="00ED4FE3"/>
    <w:pPr>
      <w:numPr>
        <w:numId w:val="4"/>
      </w:numPr>
    </w:pPr>
  </w:style>
  <w:style w:type="paragraph" w:styleId="ListNumber4">
    <w:name w:val="List Number 4"/>
    <w:basedOn w:val="List4"/>
    <w:rsid w:val="00ED4FE3"/>
    <w:pPr>
      <w:numPr>
        <w:numId w:val="5"/>
      </w:numPr>
    </w:pPr>
  </w:style>
  <w:style w:type="paragraph" w:styleId="ListNumber5">
    <w:name w:val="List Number 5"/>
    <w:basedOn w:val="List5"/>
    <w:rsid w:val="00ED4FE3"/>
    <w:pPr>
      <w:numPr>
        <w:numId w:val="6"/>
      </w:numPr>
    </w:pPr>
  </w:style>
  <w:style w:type="paragraph" w:styleId="BlockText">
    <w:name w:val="Block Text"/>
    <w:basedOn w:val="Normal"/>
    <w:rsid w:val="00ED4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FE3"/>
    <w:rPr>
      <w:sz w:val="16"/>
      <w:vertAlign w:val="superscript"/>
    </w:rPr>
  </w:style>
  <w:style w:type="character" w:customStyle="1" w:styleId="Symbols">
    <w:name w:val="Symbols"/>
    <w:basedOn w:val="DefaultParagraphFont"/>
    <w:rsid w:val="00ED4FE3"/>
    <w:rPr>
      <w:rFonts w:ascii="Symbol" w:hAnsi="Symbol"/>
    </w:rPr>
  </w:style>
  <w:style w:type="character" w:customStyle="1" w:styleId="MenuOptions">
    <w:name w:val="Menu Options"/>
    <w:basedOn w:val="DefaultParagraphFont"/>
    <w:rsid w:val="00ED4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FE3"/>
    <w:rPr>
      <w:b/>
    </w:rPr>
  </w:style>
  <w:style w:type="character" w:customStyle="1" w:styleId="Underlined">
    <w:name w:val="Underlined"/>
    <w:basedOn w:val="DefaultParagraphFont"/>
    <w:rsid w:val="00ED4FE3"/>
    <w:rPr>
      <w:u w:val="single"/>
    </w:rPr>
  </w:style>
  <w:style w:type="paragraph" w:customStyle="1" w:styleId="TableBodyTextRight">
    <w:name w:val="Table Body Text Right"/>
    <w:basedOn w:val="TableBodyText"/>
    <w:rsid w:val="00ED4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FE3"/>
    <w:rPr>
      <w:sz w:val="18"/>
    </w:rPr>
  </w:style>
  <w:style w:type="paragraph" w:customStyle="1" w:styleId="BodySmallRight">
    <w:name w:val="Body Small Right"/>
    <w:basedOn w:val="BodyTextRight"/>
    <w:rsid w:val="00ED4FE3"/>
    <w:rPr>
      <w:sz w:val="18"/>
      <w:szCs w:val="18"/>
    </w:rPr>
  </w:style>
  <w:style w:type="paragraph" w:customStyle="1" w:styleId="MarginEdition">
    <w:name w:val="Margin Edition"/>
    <w:basedOn w:val="MarginNote"/>
    <w:rsid w:val="00ED4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FE3"/>
    <w:rPr>
      <w:sz w:val="2"/>
      <w:szCs w:val="2"/>
    </w:rPr>
  </w:style>
  <w:style w:type="character" w:customStyle="1" w:styleId="Small">
    <w:name w:val="Small"/>
    <w:basedOn w:val="DefaultParagraphFont"/>
    <w:rsid w:val="00ED4FE3"/>
    <w:rPr>
      <w:sz w:val="16"/>
    </w:rPr>
  </w:style>
  <w:style w:type="paragraph" w:customStyle="1" w:styleId="WideTable">
    <w:name w:val="Wide Table"/>
    <w:basedOn w:val="Normal"/>
    <w:rsid w:val="00ED4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FE3"/>
  </w:style>
  <w:style w:type="paragraph" w:styleId="Quote">
    <w:name w:val="Quote"/>
    <w:basedOn w:val="Heading1"/>
    <w:link w:val="QuoteChar"/>
    <w:qFormat/>
    <w:rsid w:val="00ED4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FE3"/>
    <w:pPr>
      <w:pageBreakBefore/>
    </w:pPr>
  </w:style>
  <w:style w:type="paragraph" w:customStyle="1" w:styleId="Border">
    <w:name w:val="Border"/>
    <w:basedOn w:val="Normal"/>
    <w:qFormat/>
    <w:rsid w:val="00ED4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FE3"/>
    <w:rPr>
      <w:u w:val="single"/>
    </w:rPr>
  </w:style>
  <w:style w:type="character" w:customStyle="1" w:styleId="BoldandItalics">
    <w:name w:val="Bold and Italics"/>
    <w:qFormat/>
    <w:rsid w:val="00ED4FE3"/>
    <w:rPr>
      <w:b/>
      <w:i/>
      <w:u w:val="none"/>
    </w:rPr>
  </w:style>
  <w:style w:type="paragraph" w:styleId="BalloonText">
    <w:name w:val="Balloon Text"/>
    <w:basedOn w:val="Normal"/>
    <w:link w:val="BalloonTextChar"/>
    <w:rsid w:val="00ED4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FE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FE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3230</Characters>
  <Application>Microsoft Office Word</Application>
  <DocSecurity>0</DocSecurity>
  <Lines>143</Lines>
  <Paragraphs>70</Paragraphs>
  <ScaleCrop>false</ScaleCrop>
  <Company>Author-it Software Corporation Ltd.</Company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PMC554091 Analyse refractory failures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2017-01-12T09:08:00Z</dcterms:created>
  <dcterms:modified xsi:type="dcterms:W3CDTF">2017-01-12T09:08:00Z</dcterms:modified>
</cp:coreProperties>
</file>