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FB7" w:rsidP="00B57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PMC554090 Undertake simple refractory design</w:t>
      </w:r>
      <w:r>
        <w:fldChar w:fldCharType="end"/>
      </w:r>
    </w:p>
    <w:p w:rsidR="00B57FB7" w:rsidP="00B57FB7">
      <w:pPr>
        <w:pStyle w:val="Version"/>
        <w:sectPr w:rsidSect="00680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3D3" w:rsidP="006803D3">
      <w:pPr>
        <w:pStyle w:val="SuperHeading"/>
      </w:pPr>
      <w:r w:rsidRPr="006803D3">
        <w:t>PMC554090 Undertake simple refractory design</w:t>
      </w:r>
    </w:p>
    <w:p w:rsidR="00000000" w:rsidRPr="006803D3" w:rsidP="006803D3">
      <w:pPr>
        <w:pStyle w:val="Heading1"/>
      </w:pPr>
      <w:bookmarkStart w:id="1" w:name="O_929174"/>
      <w:bookmarkEnd w:id="1"/>
      <w:r w:rsidRPr="006803D3">
        <w:t>Modification History</w:t>
      </w:r>
    </w:p>
    <w:p w:rsidR="00000000" w:rsidRPr="006803D3" w:rsidP="006803D3">
      <w:pPr>
        <w:pStyle w:val="BodyText"/>
      </w:pPr>
      <w:r w:rsidRPr="006803D3">
        <w:t xml:space="preserve">Release 1. Supersedes and is equivalent to PMC554090B Undertake simple refractory design. </w:t>
      </w:r>
    </w:p>
    <w:p w:rsidR="00000000" w:rsidRPr="006803D3" w:rsidP="006803D3">
      <w:pPr>
        <w:pStyle w:val="AllowPageBreak"/>
      </w:pPr>
    </w:p>
    <w:p w:rsidR="00000000" w:rsidRPr="006803D3" w:rsidP="006803D3">
      <w:pPr>
        <w:pStyle w:val="Heading1"/>
      </w:pPr>
      <w:bookmarkStart w:id="2" w:name="O_929182"/>
      <w:bookmarkEnd w:id="2"/>
      <w:r w:rsidRPr="006803D3">
        <w:t>Application</w:t>
      </w:r>
    </w:p>
    <w:p w:rsidR="00000000" w:rsidRPr="006803D3" w:rsidP="006803D3">
      <w:pPr>
        <w:pStyle w:val="BodyText"/>
      </w:pPr>
      <w:r w:rsidRPr="006803D3">
        <w:t xml:space="preserve">This unit of competency covers the skills and knowledge required to undertake simple refractory design. It applies </w:t>
      </w:r>
      <w:r w:rsidRPr="006803D3">
        <w:t>to refractory design that can be achieved by the application of standard products/components in a standard manner and that is not required to be done by a registered engineer.</w:t>
      </w:r>
    </w:p>
    <w:p w:rsidR="00000000" w:rsidRPr="006803D3" w:rsidP="006803D3">
      <w:pPr>
        <w:pStyle w:val="BodyText"/>
      </w:pPr>
    </w:p>
    <w:p w:rsidR="00000000" w:rsidRPr="006803D3" w:rsidP="006803D3">
      <w:pPr>
        <w:pStyle w:val="BodyText"/>
      </w:pPr>
      <w:r w:rsidRPr="006803D3">
        <w:t>This unit of competency applies to operators who are required to confirm techni</w:t>
      </w:r>
      <w:r w:rsidRPr="006803D3">
        <w:t>cal requirements for the refractory and determine the materials and installation methods to meet those requirements.</w:t>
      </w:r>
    </w:p>
    <w:p w:rsidR="00000000" w:rsidRPr="006803D3" w:rsidP="006803D3">
      <w:pPr>
        <w:pStyle w:val="BodyText"/>
      </w:pPr>
    </w:p>
    <w:p w:rsidR="00000000" w:rsidRPr="006803D3" w:rsidP="006803D3">
      <w:pPr>
        <w:pStyle w:val="BodyText"/>
      </w:pPr>
      <w:r w:rsidRPr="006803D3">
        <w:t>This unit of competency applies to technician applying specialised theoretical and technical knowledge and well developed skills in situat</w:t>
      </w:r>
      <w:r w:rsidRPr="006803D3">
        <w:t>ions that require autonomy, discretion and judgement. The person may work alone or as a member of a team or group and will work in liaison with customers, installers, engineers and technical experts, as appropriate.</w:t>
      </w:r>
    </w:p>
    <w:p w:rsidR="00000000" w:rsidRPr="006803D3" w:rsidP="006803D3">
      <w:pPr>
        <w:pStyle w:val="BodyText"/>
      </w:pPr>
    </w:p>
    <w:p w:rsidR="00000000" w:rsidRPr="006803D3" w:rsidP="006803D3">
      <w:pPr>
        <w:pStyle w:val="BodyText"/>
      </w:pPr>
      <w:r w:rsidRPr="006803D3">
        <w:t>No licensing, legislative or certificat</w:t>
      </w:r>
      <w:r w:rsidRPr="006803D3">
        <w:t>ion requirements apply to this unit at the time of publication.</w:t>
      </w:r>
    </w:p>
    <w:p w:rsidR="00000000" w:rsidRPr="006803D3" w:rsidP="006803D3">
      <w:pPr>
        <w:pStyle w:val="AllowPageBreak"/>
      </w:pPr>
    </w:p>
    <w:p w:rsidR="00000000" w:rsidRPr="006803D3" w:rsidP="006803D3">
      <w:pPr>
        <w:pStyle w:val="Heading1"/>
      </w:pPr>
      <w:bookmarkStart w:id="3" w:name="O_929181"/>
      <w:bookmarkEnd w:id="3"/>
      <w:r w:rsidRPr="006803D3">
        <w:t>Pre-requisite Unit</w:t>
      </w:r>
    </w:p>
    <w:p w:rsidR="00000000" w:rsidRPr="006803D3" w:rsidP="006803D3">
      <w:pPr>
        <w:pStyle w:val="BodyText"/>
      </w:pPr>
      <w:r w:rsidRPr="006803D3">
        <w:t>Nil</w:t>
      </w:r>
    </w:p>
    <w:p w:rsidR="00000000" w:rsidRPr="006803D3" w:rsidP="006803D3">
      <w:pPr>
        <w:pStyle w:val="AllowPageBreak"/>
      </w:pPr>
    </w:p>
    <w:p w:rsidR="00000000" w:rsidRPr="006803D3" w:rsidP="006803D3">
      <w:pPr>
        <w:pStyle w:val="Heading1"/>
      </w:pPr>
      <w:bookmarkStart w:id="4" w:name="O_929180"/>
      <w:bookmarkEnd w:id="4"/>
      <w:r w:rsidRPr="006803D3">
        <w:t>Competency Field</w:t>
      </w:r>
    </w:p>
    <w:p w:rsidR="00000000" w:rsidRPr="006803D3" w:rsidP="006803D3">
      <w:pPr>
        <w:pStyle w:val="BodyText"/>
      </w:pPr>
      <w:r w:rsidRPr="006803D3">
        <w:t>Technical</w:t>
      </w:r>
    </w:p>
    <w:p w:rsidR="00000000" w:rsidRPr="006803D3" w:rsidP="006803D3">
      <w:pPr>
        <w:pStyle w:val="AllowPageBreak"/>
      </w:pPr>
    </w:p>
    <w:p w:rsidR="00000000" w:rsidRPr="006803D3" w:rsidP="006803D3">
      <w:pPr>
        <w:pStyle w:val="Heading1"/>
      </w:pPr>
      <w:bookmarkStart w:id="5" w:name="O_929179"/>
      <w:bookmarkEnd w:id="5"/>
      <w:r w:rsidRPr="006803D3">
        <w:t>Unit Sector</w:t>
      </w:r>
    </w:p>
    <w:p w:rsidR="00000000" w:rsidRPr="006803D3" w:rsidP="006803D3">
      <w:pPr>
        <w:pStyle w:val="BodyText"/>
      </w:pPr>
      <w:r w:rsidRPr="006803D3">
        <w:t>Not applicable</w:t>
      </w:r>
    </w:p>
    <w:p w:rsidR="00000000" w:rsidRPr="006803D3" w:rsidP="006803D3">
      <w:pPr>
        <w:pStyle w:val="AllowPageBreak"/>
      </w:pPr>
    </w:p>
    <w:p w:rsidR="00000000" w:rsidRPr="006803D3" w:rsidP="006803D3">
      <w:pPr>
        <w:pStyle w:val="Heading1"/>
      </w:pPr>
      <w:bookmarkStart w:id="6" w:name="O_929178"/>
      <w:bookmarkEnd w:id="6"/>
      <w:r w:rsidRPr="006803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Elements desc</w:t>
            </w:r>
            <w:r w:rsidRPr="006803D3">
              <w:t>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Performance criteria describe the performance needed to demonstrate achievement of the element.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3D3" w:rsidP="006803D3">
            <w:pPr>
              <w:pStyle w:val="BodyText"/>
            </w:pPr>
            <w:r w:rsidRPr="006803D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rPr>
                <w:rStyle w:val="SpecialBold"/>
              </w:rPr>
              <w:t>Establish the suitability of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Check all information conforms with resources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Record discrepancies in information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Report any inaccuracies in information to the person in charge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Identify and select materials, components, tools and equipment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3D3" w:rsidP="006803D3">
            <w:pPr>
              <w:pStyle w:val="BodyText"/>
            </w:pPr>
            <w:r w:rsidRPr="006803D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rPr>
                <w:rStyle w:val="SpecialBold"/>
              </w:rPr>
              <w:t>Undertake mechanical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Determine strength requirements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Determine operating temperature range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Select materials/mix with appropriate mechanical strength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Identify hazards of materials and processes to be used and apply hierarchy of control to control hazards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Determine expansion which will occur for this material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Adjust material/mix to be suitable for temperatures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3D3" w:rsidP="006803D3">
            <w:pPr>
              <w:pStyle w:val="BodyText"/>
            </w:pPr>
            <w:r w:rsidRPr="006803D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rPr>
                <w:rStyle w:val="SpecialBold"/>
              </w:rPr>
              <w:t>Undertake thermal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Determine heat flow through the refractory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Determine interface temperatures for multi-component linings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Use simple software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Determine interface bonding/anchor issues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3D3" w:rsidP="006803D3">
            <w:pPr>
              <w:pStyle w:val="BodyText"/>
            </w:pPr>
            <w:r w:rsidRPr="006803D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rPr>
                <w:rStyle w:val="SpecialBold"/>
              </w:rPr>
              <w:t>Specify refractory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Specify materials to be used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Specify installation method to be used</w:t>
            </w:r>
          </w:p>
        </w:tc>
      </w:tr>
      <w:tr w:rsidTr="00680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3D3" w:rsidP="006803D3">
            <w:pPr>
              <w:pStyle w:val="BodyText"/>
            </w:pPr>
            <w:r w:rsidRPr="006803D3">
              <w:t>Confirm specification meets customer needs and installer requirements</w:t>
            </w:r>
          </w:p>
        </w:tc>
      </w:tr>
    </w:tbl>
    <w:p w:rsidR="00000000" w:rsidRPr="006803D3" w:rsidP="006803D3">
      <w:pPr>
        <w:pStyle w:val="BodyText"/>
      </w:pPr>
    </w:p>
    <w:p w:rsidR="00000000" w:rsidRPr="006803D3" w:rsidP="006803D3">
      <w:pPr>
        <w:pStyle w:val="AllowPageBreak"/>
      </w:pPr>
    </w:p>
    <w:p w:rsidR="00000000" w:rsidRPr="006803D3" w:rsidP="006803D3">
      <w:pPr>
        <w:pStyle w:val="Heading1"/>
      </w:pPr>
      <w:bookmarkStart w:id="7" w:name="O_929177"/>
      <w:bookmarkEnd w:id="7"/>
      <w:r w:rsidRPr="006803D3">
        <w:t>Foundation Skills</w:t>
      </w:r>
    </w:p>
    <w:p w:rsidR="00000000" w:rsidRPr="006803D3" w:rsidP="006803D3">
      <w:pPr>
        <w:pStyle w:val="BodyText"/>
      </w:pPr>
      <w:r w:rsidRPr="006803D3">
        <w:t>This section describes those required skills (language, literacy and numeracy) that are essential to performance.</w:t>
      </w:r>
    </w:p>
    <w:p w:rsidR="00000000" w:rsidRPr="006803D3" w:rsidP="006803D3">
      <w:pPr>
        <w:pStyle w:val="BodyText"/>
      </w:pPr>
    </w:p>
    <w:p w:rsidR="00000000" w:rsidRPr="006803D3" w:rsidP="006803D3">
      <w:pPr>
        <w:pStyle w:val="BodyText"/>
      </w:pPr>
      <w:r w:rsidRPr="006803D3">
        <w:t>Foundation skills essential to performance are explicit in the performance criteria of this unit of competency.</w:t>
      </w:r>
    </w:p>
    <w:p w:rsidR="00000000" w:rsidRPr="006803D3" w:rsidP="006803D3">
      <w:pPr>
        <w:pStyle w:val="AllowPageBreak"/>
      </w:pPr>
    </w:p>
    <w:p w:rsidR="00000000" w:rsidRPr="006803D3" w:rsidP="006803D3">
      <w:pPr>
        <w:pStyle w:val="Heading1"/>
      </w:pPr>
      <w:bookmarkStart w:id="8" w:name="O_929176"/>
      <w:bookmarkEnd w:id="8"/>
      <w:r w:rsidRPr="006803D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57F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t>This field allows for different work environments and conditions that may affect performance. Essential ope</w:t>
            </w:r>
            <w:r w:rsidRPr="006803D3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57F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3D3" w:rsidP="006803D3">
            <w:pPr>
              <w:pStyle w:val="BodyText"/>
            </w:pPr>
            <w:r w:rsidRPr="006803D3">
              <w:rPr>
                <w:rStyle w:val="SpecialBold"/>
              </w:rPr>
              <w:t>Regulatory framework</w:t>
            </w:r>
            <w:r w:rsidRPr="006803D3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3D3" w:rsidP="006803D3">
            <w:pPr>
              <w:pStyle w:val="BodyText"/>
            </w:pPr>
            <w:r w:rsidRPr="006803D3">
              <w:t xml:space="preserve">The latest version of all legislation, regulations, </w:t>
            </w:r>
            <w:r w:rsidRPr="006803D3">
              <w:t>industry codes of practice and Australian/international standards, or the version specified by the local regulatory authority, must be used.</w:t>
            </w:r>
          </w:p>
          <w:p w:rsidR="00000000" w:rsidRPr="006803D3" w:rsidP="006803D3">
            <w:pPr>
              <w:pStyle w:val="BodyText"/>
            </w:pPr>
          </w:p>
          <w:p w:rsidR="00000000" w:rsidRPr="006803D3" w:rsidP="006803D3">
            <w:pPr>
              <w:pStyle w:val="BodyText"/>
            </w:pPr>
            <w:r w:rsidRPr="006803D3">
              <w:t>Applicable legislation, regulations, standards and codes of practice include:</w:t>
            </w:r>
          </w:p>
          <w:p w:rsidR="00000000" w:rsidRPr="006803D3" w:rsidP="006803D3">
            <w:pPr>
              <w:pStyle w:val="ListBullet"/>
            </w:pPr>
            <w:r w:rsidRPr="006803D3">
              <w:t>health, safety and environmental (H</w:t>
            </w:r>
            <w:r w:rsidRPr="006803D3">
              <w:t>SE) legislation, regulations and codes of practice relevant to the workplace, equipment and production processes and hazardous materials</w:t>
            </w:r>
          </w:p>
          <w:p w:rsidR="00000000" w:rsidRPr="006803D3" w:rsidP="006803D3">
            <w:pPr>
              <w:pStyle w:val="ListBullet"/>
            </w:pPr>
            <w:r w:rsidRPr="006803D3">
              <w:t xml:space="preserve">Australian/international standards relevant to the materials being used and products being made </w:t>
            </w:r>
          </w:p>
          <w:p w:rsidR="00000000" w:rsidRPr="006803D3" w:rsidP="006803D3">
            <w:pPr>
              <w:pStyle w:val="ListBullet"/>
            </w:pPr>
            <w:r w:rsidRPr="006803D3">
              <w:t>any relevant licence and certification requirements.</w:t>
            </w:r>
          </w:p>
          <w:p w:rsidR="00000000" w:rsidRPr="006803D3" w:rsidP="006803D3">
            <w:pPr>
              <w:pStyle w:val="BodyText"/>
            </w:pPr>
          </w:p>
          <w:p w:rsidR="00000000" w:rsidRPr="006803D3" w:rsidP="006803D3">
            <w:pPr>
              <w:pStyle w:val="BodyText"/>
            </w:pPr>
            <w:r w:rsidRPr="006803D3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6803D3">
              <w:t>here there is an apparent conflict between performance criteria and such requirements the legislative requirements take precedence.</w:t>
            </w:r>
          </w:p>
          <w:p w:rsidR="00000000" w:rsidP="006803D3">
            <w:pPr>
              <w:pStyle w:val="BodyText"/>
              <w:rPr>
                <w:lang w:val="en-NZ"/>
              </w:rPr>
            </w:pPr>
          </w:p>
        </w:tc>
      </w:tr>
      <w:tr w:rsidTr="00B57F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3D3" w:rsidP="006803D3">
            <w:pPr>
              <w:pStyle w:val="BodyText"/>
            </w:pPr>
            <w:r w:rsidRPr="006803D3">
              <w:t>All operations must be performed in accordance with relevant procedures.</w:t>
            </w:r>
          </w:p>
          <w:p w:rsidR="00000000" w:rsidRPr="006803D3" w:rsidP="006803D3">
            <w:pPr>
              <w:pStyle w:val="BodyText"/>
            </w:pPr>
          </w:p>
          <w:p w:rsidR="00000000" w:rsidRPr="006803D3" w:rsidP="006803D3">
            <w:pPr>
              <w:pStyle w:val="BodyText"/>
            </w:pPr>
            <w:r w:rsidRPr="006803D3">
              <w:t>Procedures are written, verbal, visua</w:t>
            </w:r>
            <w:r w:rsidRPr="006803D3">
              <w:t>l, computer-based or in some other form, and include one or any combination of:</w:t>
            </w:r>
          </w:p>
          <w:p w:rsidR="00000000" w:rsidRPr="006803D3" w:rsidP="006803D3">
            <w:pPr>
              <w:pStyle w:val="ListBullet"/>
            </w:pPr>
            <w:r w:rsidRPr="006803D3">
              <w:t xml:space="preserve">manufacturer's technical information </w:t>
            </w:r>
          </w:p>
          <w:p w:rsidR="00000000" w:rsidRPr="006803D3" w:rsidP="006803D3">
            <w:pPr>
              <w:pStyle w:val="ListBullet"/>
            </w:pPr>
            <w:r w:rsidRPr="006803D3">
              <w:t>job cards</w:t>
            </w:r>
          </w:p>
          <w:p w:rsidR="00000000" w:rsidRPr="006803D3" w:rsidP="006803D3">
            <w:pPr>
              <w:pStyle w:val="ListBullet"/>
            </w:pPr>
            <w:r w:rsidRPr="006803D3">
              <w:t>drawings</w:t>
            </w:r>
          </w:p>
          <w:p w:rsidR="00000000" w:rsidRPr="006803D3" w:rsidP="006803D3">
            <w:pPr>
              <w:pStyle w:val="ListBullet"/>
            </w:pPr>
            <w:r w:rsidRPr="006803D3">
              <w:t>emergency procedures</w:t>
            </w:r>
          </w:p>
          <w:p w:rsidR="00000000" w:rsidRPr="006803D3" w:rsidP="006803D3">
            <w:pPr>
              <w:pStyle w:val="ListBullet"/>
            </w:pPr>
            <w:r w:rsidRPr="006803D3">
              <w:t>work instructions</w:t>
            </w:r>
          </w:p>
          <w:p w:rsidR="00000000" w:rsidRPr="006803D3" w:rsidP="006803D3">
            <w:pPr>
              <w:pStyle w:val="ListBullet"/>
            </w:pPr>
            <w:r w:rsidRPr="006803D3">
              <w:t>standard operating procedures (SOPs)</w:t>
            </w:r>
          </w:p>
          <w:p w:rsidR="00000000" w:rsidRPr="006803D3" w:rsidP="006803D3">
            <w:pPr>
              <w:pStyle w:val="ListBullet"/>
            </w:pPr>
            <w:r w:rsidRPr="006803D3">
              <w:t>safe work method statements (SWMS)</w:t>
            </w:r>
          </w:p>
          <w:p w:rsidR="00000000" w:rsidRPr="006803D3" w:rsidP="006803D3">
            <w:pPr>
              <w:pStyle w:val="ListBullet"/>
            </w:pPr>
            <w:r w:rsidRPr="006803D3">
              <w:t>formulas/recipes</w:t>
            </w:r>
          </w:p>
          <w:p w:rsidR="00000000" w:rsidRPr="006803D3" w:rsidP="006803D3">
            <w:pPr>
              <w:pStyle w:val="ListBullet"/>
            </w:pPr>
            <w:r w:rsidRPr="006803D3">
              <w:t>batch sheets</w:t>
            </w:r>
          </w:p>
          <w:p w:rsidR="00000000" w:rsidRPr="006803D3" w:rsidP="006803D3">
            <w:pPr>
              <w:pStyle w:val="ListBullet"/>
            </w:pPr>
            <w:r w:rsidRPr="006803D3">
              <w:t>temporary instructions</w:t>
            </w:r>
          </w:p>
          <w:p w:rsidR="00000000" w:rsidRPr="006803D3" w:rsidP="006803D3">
            <w:pPr>
              <w:pStyle w:val="ListBullet"/>
            </w:pPr>
            <w:r w:rsidRPr="006803D3">
              <w:t>any similar instructions provided for the smooth running of the plant.</w:t>
            </w:r>
          </w:p>
          <w:p w:rsidR="00000000" w:rsidP="006803D3">
            <w:pPr>
              <w:pStyle w:val="BodyText"/>
              <w:rPr>
                <w:lang w:val="en-NZ"/>
              </w:rPr>
            </w:pPr>
          </w:p>
        </w:tc>
      </w:tr>
      <w:tr w:rsidTr="00B57F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3D3">
            <w:pPr>
              <w:pStyle w:val="BodyText"/>
              <w:rPr>
                <w:lang w:val="en-NZ"/>
              </w:rPr>
            </w:pPr>
            <w:r w:rsidRPr="006803D3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3D3" w:rsidP="006803D3">
            <w:pPr>
              <w:pStyle w:val="BodyText"/>
            </w:pPr>
            <w:r w:rsidRPr="006803D3">
              <w:t>Hazards must be identified and controlled. Identifying hazards requires consideration of:</w:t>
            </w:r>
          </w:p>
          <w:p w:rsidR="00000000" w:rsidRPr="006803D3" w:rsidP="006803D3">
            <w:pPr>
              <w:pStyle w:val="ListBullet"/>
            </w:pPr>
            <w:r w:rsidRPr="006803D3">
              <w:t>health and safety risks</w:t>
            </w:r>
          </w:p>
          <w:p w:rsidR="00000000" w:rsidRPr="006803D3" w:rsidP="006803D3">
            <w:pPr>
              <w:pStyle w:val="ListBullet"/>
            </w:pPr>
            <w:r w:rsidRPr="006803D3">
              <w:t>sustain</w:t>
            </w:r>
            <w:r w:rsidRPr="006803D3">
              <w:t>ability risks</w:t>
            </w:r>
          </w:p>
          <w:p w:rsidR="00000000" w:rsidRPr="006803D3" w:rsidP="006803D3">
            <w:pPr>
              <w:pStyle w:val="ListBullet"/>
            </w:pPr>
            <w:r w:rsidRPr="006803D3">
              <w:t>regulatory risks.</w:t>
            </w:r>
          </w:p>
        </w:tc>
      </w:tr>
    </w:tbl>
    <w:p w:rsidR="00000000" w:rsidRPr="006803D3" w:rsidP="006803D3">
      <w:pPr>
        <w:pStyle w:val="BodyText"/>
      </w:pPr>
    </w:p>
    <w:p w:rsidR="00000000" w:rsidRPr="006803D3" w:rsidP="006803D3">
      <w:pPr>
        <w:pStyle w:val="AllowPageBreak"/>
      </w:pPr>
    </w:p>
    <w:p w:rsidR="00000000" w:rsidRPr="006803D3" w:rsidP="006803D3">
      <w:pPr>
        <w:pStyle w:val="Heading1"/>
      </w:pPr>
      <w:bookmarkStart w:id="9" w:name="O_929175"/>
      <w:bookmarkEnd w:id="9"/>
      <w:r w:rsidRPr="006803D3">
        <w:t>Unit Mapping Information</w:t>
      </w:r>
    </w:p>
    <w:p w:rsidR="00000000" w:rsidRPr="006803D3" w:rsidP="006803D3">
      <w:pPr>
        <w:pStyle w:val="BodyText"/>
      </w:pPr>
      <w:r w:rsidRPr="006803D3">
        <w:t xml:space="preserve">Release 1. Supersedes and is equivalent to PMC554090B Undertake simple refractory design. </w:t>
      </w:r>
    </w:p>
    <w:p w:rsidR="00000000" w:rsidRPr="006803D3" w:rsidP="006803D3">
      <w:pPr>
        <w:pStyle w:val="AllowPageBreak"/>
      </w:pPr>
    </w:p>
    <w:p w:rsidR="00000000" w:rsidRPr="006803D3" w:rsidP="006803D3">
      <w:pPr>
        <w:pStyle w:val="Heading1"/>
      </w:pPr>
      <w:bookmarkStart w:id="10" w:name="O_929168"/>
      <w:bookmarkEnd w:id="10"/>
      <w:r w:rsidRPr="006803D3">
        <w:t>Links</w:t>
      </w:r>
    </w:p>
    <w:p w:rsidR="00000000" w:rsidRPr="006803D3" w:rsidP="006803D3">
      <w:pPr>
        <w:pStyle w:val="BodyText"/>
      </w:pPr>
      <w:r w:rsidRPr="006803D3">
        <w:t>Companion Volume implementation guides are found in VETNet - https://vetnet.education.gov.au/Pages/TrainingDocs.aspx?q=45a7f1d5-61a5-447a-9688-7abbd7e1a5c7</w:t>
      </w:r>
    </w:p>
    <w:p w:rsidR="00000000" w:rsidRPr="006803D3" w:rsidP="006803D3"/>
    <w:sectPr w:rsidSect="006803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D3" w:rsidRPr="00B57FB7" w:rsidP="00B57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B7" w:rsidP="00680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FB7" w:rsidP="00680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57FB7" w:rsidP="00680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3D3" w:rsidRPr="00B57FB7" w:rsidP="00B57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B7" w:rsidRPr="002D2AF8" w:rsidP="00680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PMC554090 Undertake simple refractory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2017</w:t>
    </w:r>
    <w:r>
      <w:fldChar w:fldCharType="end"/>
    </w:r>
  </w:p>
  <w:p w:rsidR="00B57FB7" w:rsidP="00680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22F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C6C3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3D3"/>
  </w:style>
  <w:style w:type="character" w:customStyle="1" w:styleId="Heading1Char">
    <w:name w:val="Heading 1 Char"/>
    <w:basedOn w:val="DefaultParagraphFont"/>
    <w:link w:val="Heading1"/>
    <w:rsid w:val="00680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3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3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3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3D3"/>
    <w:rPr>
      <w:b/>
      <w:spacing w:val="0"/>
    </w:rPr>
  </w:style>
  <w:style w:type="paragraph" w:customStyle="1" w:styleId="SuperHeading">
    <w:name w:val="SuperHeading"/>
    <w:basedOn w:val="Normal"/>
    <w:rsid w:val="00680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3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3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3D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3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3D3"/>
    <w:rPr>
      <w:i/>
    </w:rPr>
  </w:style>
  <w:style w:type="paragraph" w:styleId="Caption">
    <w:name w:val="caption"/>
    <w:basedOn w:val="BodyText"/>
    <w:next w:val="Normal"/>
    <w:qFormat/>
    <w:rsid w:val="00680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3D3"/>
  </w:style>
  <w:style w:type="paragraph" w:styleId="TableofFigures">
    <w:name w:val="table of figures"/>
    <w:basedOn w:val="Normal"/>
    <w:next w:val="Normal"/>
    <w:semiHidden/>
    <w:rsid w:val="00680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3D3"/>
    <w:pPr>
      <w:numPr>
        <w:numId w:val="10"/>
      </w:numPr>
    </w:pPr>
  </w:style>
  <w:style w:type="character" w:customStyle="1" w:styleId="WingdingSymbols">
    <w:name w:val="Wingding Symbols"/>
    <w:rsid w:val="006803D3"/>
    <w:rPr>
      <w:rFonts w:ascii="Wingdings" w:hAnsi="Wingdings"/>
    </w:rPr>
  </w:style>
  <w:style w:type="paragraph" w:customStyle="1" w:styleId="TableHeading">
    <w:name w:val="Table Heading"/>
    <w:basedOn w:val="HeadingBase"/>
    <w:rsid w:val="00680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3D3"/>
    <w:rPr>
      <w:color w:val="0033CC"/>
      <w:u w:val="none"/>
    </w:rPr>
  </w:style>
  <w:style w:type="paragraph" w:customStyle="1" w:styleId="BodyTextRight">
    <w:name w:val="Body Text Right"/>
    <w:basedOn w:val="BodyText"/>
    <w:rsid w:val="00680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3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3D3"/>
    <w:rPr>
      <w:sz w:val="32"/>
    </w:rPr>
  </w:style>
  <w:style w:type="paragraph" w:customStyle="1" w:styleId="HeadingProcedure">
    <w:name w:val="Heading Procedure"/>
    <w:basedOn w:val="HeadingBase"/>
    <w:next w:val="Normal"/>
    <w:rsid w:val="00680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3D3"/>
    <w:pPr>
      <w:spacing w:before="60" w:after="60"/>
    </w:pPr>
  </w:style>
  <w:style w:type="paragraph" w:styleId="ListContinue">
    <w:name w:val="List Continue"/>
    <w:basedOn w:val="List"/>
    <w:rsid w:val="006803D3"/>
    <w:pPr>
      <w:ind w:firstLine="0"/>
    </w:pPr>
  </w:style>
  <w:style w:type="paragraph" w:customStyle="1" w:styleId="ListNote">
    <w:name w:val="List Note"/>
    <w:basedOn w:val="List"/>
    <w:rsid w:val="00680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3D3"/>
    <w:rPr>
      <w:rFonts w:ascii="Courier New" w:hAnsi="Courier New"/>
    </w:rPr>
  </w:style>
  <w:style w:type="paragraph" w:customStyle="1" w:styleId="NoteBullet">
    <w:name w:val="Note Bullet"/>
    <w:basedOn w:val="Note"/>
    <w:rsid w:val="00680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3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0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3D3"/>
    <w:rPr>
      <w:b/>
      <w:smallCaps/>
    </w:rPr>
  </w:style>
  <w:style w:type="paragraph" w:customStyle="1" w:styleId="TableListNumber">
    <w:name w:val="Table List Number"/>
    <w:basedOn w:val="ListNumber"/>
    <w:rsid w:val="00680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3D3"/>
    <w:pPr>
      <w:numPr>
        <w:numId w:val="8"/>
      </w:numPr>
    </w:pPr>
  </w:style>
  <w:style w:type="paragraph" w:customStyle="1" w:styleId="ListAlpha2">
    <w:name w:val="List Alpha 2"/>
    <w:basedOn w:val="List2"/>
    <w:rsid w:val="006803D3"/>
    <w:pPr>
      <w:numPr>
        <w:numId w:val="7"/>
      </w:numPr>
    </w:pPr>
  </w:style>
  <w:style w:type="paragraph" w:styleId="List2">
    <w:name w:val="List 2"/>
    <w:basedOn w:val="BodyText"/>
    <w:rsid w:val="00680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3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3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03D3"/>
    <w:pPr>
      <w:numPr>
        <w:numId w:val="3"/>
      </w:numPr>
    </w:pPr>
  </w:style>
  <w:style w:type="paragraph" w:styleId="ListContinue2">
    <w:name w:val="List Continue 2"/>
    <w:basedOn w:val="List2"/>
    <w:rsid w:val="006803D3"/>
    <w:pPr>
      <w:ind w:firstLine="0"/>
    </w:pPr>
  </w:style>
  <w:style w:type="paragraph" w:styleId="ListContinue3">
    <w:name w:val="List Continue 3"/>
    <w:basedOn w:val="List3"/>
    <w:rsid w:val="006803D3"/>
    <w:pPr>
      <w:ind w:left="1021" w:firstLine="0"/>
    </w:pPr>
  </w:style>
  <w:style w:type="paragraph" w:styleId="ListContinue4">
    <w:name w:val="List Continue 4"/>
    <w:basedOn w:val="List4"/>
    <w:rsid w:val="006803D3"/>
    <w:pPr>
      <w:ind w:firstLine="0"/>
    </w:pPr>
  </w:style>
  <w:style w:type="paragraph" w:styleId="ListContinue5">
    <w:name w:val="List Continue 5"/>
    <w:basedOn w:val="List5"/>
    <w:rsid w:val="006803D3"/>
    <w:pPr>
      <w:ind w:firstLine="0"/>
    </w:pPr>
  </w:style>
  <w:style w:type="paragraph" w:styleId="ListNumber3">
    <w:name w:val="List Number 3"/>
    <w:basedOn w:val="List3"/>
    <w:rsid w:val="006803D3"/>
    <w:pPr>
      <w:numPr>
        <w:numId w:val="4"/>
      </w:numPr>
    </w:pPr>
  </w:style>
  <w:style w:type="paragraph" w:styleId="ListNumber4">
    <w:name w:val="List Number 4"/>
    <w:basedOn w:val="List4"/>
    <w:rsid w:val="006803D3"/>
    <w:pPr>
      <w:numPr>
        <w:numId w:val="5"/>
      </w:numPr>
    </w:pPr>
  </w:style>
  <w:style w:type="paragraph" w:styleId="ListNumber5">
    <w:name w:val="List Number 5"/>
    <w:basedOn w:val="List5"/>
    <w:rsid w:val="006803D3"/>
    <w:pPr>
      <w:numPr>
        <w:numId w:val="6"/>
      </w:numPr>
    </w:pPr>
  </w:style>
  <w:style w:type="paragraph" w:styleId="BlockText">
    <w:name w:val="Block Text"/>
    <w:basedOn w:val="Normal"/>
    <w:rsid w:val="00680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3D3"/>
    <w:rPr>
      <w:sz w:val="16"/>
      <w:vertAlign w:val="superscript"/>
    </w:rPr>
  </w:style>
  <w:style w:type="character" w:customStyle="1" w:styleId="Symbols">
    <w:name w:val="Symbols"/>
    <w:basedOn w:val="DefaultParagraphFont"/>
    <w:rsid w:val="006803D3"/>
    <w:rPr>
      <w:rFonts w:ascii="Symbol" w:hAnsi="Symbol"/>
    </w:rPr>
  </w:style>
  <w:style w:type="character" w:customStyle="1" w:styleId="MenuOptions">
    <w:name w:val="Menu Options"/>
    <w:basedOn w:val="DefaultParagraphFont"/>
    <w:rsid w:val="00680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3D3"/>
    <w:rPr>
      <w:b/>
    </w:rPr>
  </w:style>
  <w:style w:type="character" w:customStyle="1" w:styleId="Underlined">
    <w:name w:val="Underlined"/>
    <w:basedOn w:val="DefaultParagraphFont"/>
    <w:rsid w:val="006803D3"/>
    <w:rPr>
      <w:u w:val="single"/>
    </w:rPr>
  </w:style>
  <w:style w:type="paragraph" w:customStyle="1" w:styleId="TableBodyTextRight">
    <w:name w:val="Table Body Text Right"/>
    <w:basedOn w:val="TableBodyText"/>
    <w:rsid w:val="00680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3D3"/>
    <w:rPr>
      <w:sz w:val="18"/>
    </w:rPr>
  </w:style>
  <w:style w:type="paragraph" w:customStyle="1" w:styleId="BodySmallRight">
    <w:name w:val="Body Small Right"/>
    <w:basedOn w:val="BodyTextRight"/>
    <w:rsid w:val="006803D3"/>
    <w:rPr>
      <w:sz w:val="18"/>
      <w:szCs w:val="18"/>
    </w:rPr>
  </w:style>
  <w:style w:type="paragraph" w:customStyle="1" w:styleId="MarginEdition">
    <w:name w:val="Margin Edition"/>
    <w:basedOn w:val="MarginNote"/>
    <w:rsid w:val="00680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3D3"/>
    <w:rPr>
      <w:sz w:val="2"/>
      <w:szCs w:val="2"/>
    </w:rPr>
  </w:style>
  <w:style w:type="character" w:customStyle="1" w:styleId="Small">
    <w:name w:val="Small"/>
    <w:basedOn w:val="DefaultParagraphFont"/>
    <w:rsid w:val="006803D3"/>
    <w:rPr>
      <w:sz w:val="16"/>
    </w:rPr>
  </w:style>
  <w:style w:type="paragraph" w:customStyle="1" w:styleId="WideTable">
    <w:name w:val="Wide Table"/>
    <w:basedOn w:val="Normal"/>
    <w:rsid w:val="00680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3D3"/>
  </w:style>
  <w:style w:type="paragraph" w:styleId="Quote">
    <w:name w:val="Quote"/>
    <w:basedOn w:val="Heading1"/>
    <w:link w:val="QuoteChar"/>
    <w:qFormat/>
    <w:rsid w:val="00680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3D3"/>
    <w:pPr>
      <w:pageBreakBefore/>
    </w:pPr>
  </w:style>
  <w:style w:type="paragraph" w:customStyle="1" w:styleId="Border">
    <w:name w:val="Border"/>
    <w:basedOn w:val="Normal"/>
    <w:qFormat/>
    <w:rsid w:val="00680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3D3"/>
    <w:rPr>
      <w:u w:val="single"/>
    </w:rPr>
  </w:style>
  <w:style w:type="character" w:customStyle="1" w:styleId="BoldandItalics">
    <w:name w:val="Bold and Italics"/>
    <w:qFormat/>
    <w:rsid w:val="006803D3"/>
    <w:rPr>
      <w:b/>
      <w:i/>
      <w:u w:val="none"/>
    </w:rPr>
  </w:style>
  <w:style w:type="paragraph" w:styleId="BalloonText">
    <w:name w:val="Balloon Text"/>
    <w:basedOn w:val="Normal"/>
    <w:link w:val="BalloonTextChar"/>
    <w:rsid w:val="00680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3D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3D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4249</Characters>
  <Application>Microsoft Office Word</Application>
  <DocSecurity>0</DocSecurity>
  <Lines>189</Lines>
  <Paragraphs>96</Paragraphs>
  <ScaleCrop>false</ScaleCrop>
  <Company>Author-it Software Corporation Ltd.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PMC554090 Undertake simple refractory design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2017-01-12T09:14:00Z</dcterms:created>
  <dcterms:modified xsi:type="dcterms:W3CDTF">2017-01-12T09:14:00Z</dcterms:modified>
</cp:coreProperties>
</file>