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BBA" w:rsidP="00CC3BBA">
      <w:pPr>
        <w:pStyle w:val="Title"/>
      </w:pPr>
      <w:r>
        <w:fldChar w:fldCharType="begin"/>
      </w:r>
      <w:r>
        <w:instrText xml:space="preserve"> TITLE   \* MERGEFORMAT </w:instrText>
      </w:r>
      <w:r>
        <w:fldChar w:fldCharType="separate"/>
      </w:r>
      <w:r>
        <w:t>PMC554090 Undertake simple refractory design</w:t>
      </w:r>
      <w:r>
        <w:fldChar w:fldCharType="end"/>
      </w:r>
    </w:p>
    <w:p w:rsidR="00CC3BBA" w:rsidP="00CC3BBA">
      <w:pPr>
        <w:pStyle w:val="Version"/>
        <w:sectPr w:rsidSect="005A6A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A31" w:rsidP="005A6A31">
      <w:pPr>
        <w:pStyle w:val="SuperHeading"/>
      </w:pPr>
      <w:r w:rsidRPr="005A6A31">
        <w:t>PMC554090 Undertake simple refractory design</w:t>
      </w:r>
    </w:p>
    <w:p w:rsidR="00000000" w:rsidRPr="005A6A31" w:rsidP="005A6A31">
      <w:pPr>
        <w:pStyle w:val="Heading1"/>
      </w:pPr>
      <w:bookmarkStart w:id="1" w:name="O_929174"/>
      <w:bookmarkEnd w:id="1"/>
      <w:r w:rsidRPr="005A6A31">
        <w:t>Modification History</w:t>
      </w:r>
    </w:p>
    <w:p w:rsidR="00000000" w:rsidRPr="005A6A31" w:rsidP="00CC3BBA">
      <w:pPr>
        <w:pStyle w:val="BodyText"/>
      </w:pPr>
      <w:r w:rsidRPr="005A6A31">
        <w:t xml:space="preserve">Release 1. Supersedes and is equivalent to PMC554090B Undertake simple refractory design. </w:t>
      </w:r>
    </w:p>
    <w:p w:rsidR="00000000" w:rsidRPr="005A6A31" w:rsidP="005A6A31">
      <w:pPr>
        <w:pStyle w:val="Heading1"/>
      </w:pPr>
      <w:bookmarkStart w:id="2" w:name="O_929182"/>
      <w:bookmarkEnd w:id="2"/>
      <w:r w:rsidRPr="005A6A31">
        <w:t>Application</w:t>
      </w:r>
    </w:p>
    <w:p w:rsidR="00000000" w:rsidRPr="005A6A31" w:rsidP="00CC3BBA">
      <w:pPr>
        <w:pStyle w:val="BodyText"/>
      </w:pPr>
      <w:r w:rsidRPr="005A6A31">
        <w:t xml:space="preserve">This unit of competency covers the skills and knowledge required to undertake simple refractory design. It applies </w:t>
      </w:r>
      <w:r w:rsidRPr="005A6A31">
        <w:t>to refractory design that can be achieved by the application of standard products/components in a standard manner and that is not required to be done by a registered engineer.</w:t>
      </w:r>
    </w:p>
    <w:p w:rsidR="00000000" w:rsidRPr="005A6A31" w:rsidP="00CC3BBA">
      <w:pPr>
        <w:pStyle w:val="BodyText"/>
      </w:pPr>
      <w:r w:rsidRPr="005A6A31">
        <w:t>This unit of competency applies to operators who are required to confirm techni</w:t>
      </w:r>
      <w:r w:rsidRPr="005A6A31">
        <w:t>cal requirements for the refractory and determine the materials and installation methods to meet those requirements.</w:t>
      </w:r>
    </w:p>
    <w:p w:rsidR="00000000" w:rsidRPr="005A6A31" w:rsidP="00CC3BBA">
      <w:pPr>
        <w:pStyle w:val="BodyText"/>
      </w:pPr>
      <w:r w:rsidRPr="005A6A31">
        <w:t>This unit of competency applies to technician applying specialised theoretical and technical knowledge and well developed skills in situat</w:t>
      </w:r>
      <w:r w:rsidRPr="005A6A31">
        <w:t>ions that require autonomy, discretion and judgement. The person may work alone or as a member of a team or group and will work in liaison with customers, installers, engineers and technical experts, as appropriate.</w:t>
      </w:r>
    </w:p>
    <w:p w:rsidR="00000000" w:rsidRPr="005A6A31" w:rsidP="00CC3BBA">
      <w:pPr>
        <w:pStyle w:val="BodyText"/>
      </w:pPr>
      <w:r w:rsidRPr="005A6A31">
        <w:t>No licensing, legislative or certificat</w:t>
      </w:r>
      <w:r w:rsidRPr="005A6A31">
        <w:t>ion requirements apply to this unit at the time of publication.</w:t>
      </w:r>
    </w:p>
    <w:p w:rsidR="00000000" w:rsidRPr="005A6A31" w:rsidP="005A6A31">
      <w:pPr>
        <w:pStyle w:val="Heading1"/>
      </w:pPr>
      <w:bookmarkStart w:id="3" w:name="O_929181"/>
      <w:bookmarkEnd w:id="3"/>
      <w:r w:rsidRPr="005A6A31">
        <w:t>Pre-requisite Unit</w:t>
      </w:r>
    </w:p>
    <w:p w:rsidR="00000000" w:rsidRPr="005A6A31" w:rsidP="00CC3BBA">
      <w:pPr>
        <w:pStyle w:val="BodyText"/>
      </w:pPr>
      <w:r w:rsidRPr="005A6A31">
        <w:t>Nil</w:t>
      </w:r>
    </w:p>
    <w:p w:rsidR="00000000" w:rsidRPr="005A6A31" w:rsidP="005A6A31">
      <w:pPr>
        <w:pStyle w:val="Heading1"/>
      </w:pPr>
      <w:bookmarkStart w:id="4" w:name="O_929180"/>
      <w:bookmarkEnd w:id="4"/>
      <w:r w:rsidRPr="005A6A31">
        <w:t>Competency Field</w:t>
      </w:r>
    </w:p>
    <w:p w:rsidR="00000000" w:rsidRPr="005A6A31" w:rsidP="00CC3BBA">
      <w:pPr>
        <w:pStyle w:val="BodyText"/>
      </w:pPr>
      <w:r w:rsidRPr="005A6A31">
        <w:t>Technical</w:t>
      </w:r>
    </w:p>
    <w:p w:rsidR="00000000" w:rsidRPr="005A6A31" w:rsidP="005A6A31">
      <w:pPr>
        <w:pStyle w:val="Heading1"/>
      </w:pPr>
      <w:bookmarkStart w:id="5" w:name="O_929179"/>
      <w:bookmarkEnd w:id="5"/>
      <w:r w:rsidRPr="005A6A31">
        <w:t>Unit Sector</w:t>
      </w:r>
    </w:p>
    <w:p w:rsidR="00000000" w:rsidRPr="005A6A31" w:rsidP="00CC3BBA">
      <w:pPr>
        <w:pStyle w:val="BodyText"/>
      </w:pPr>
      <w:r w:rsidRPr="005A6A31">
        <w:t>Not applicable</w:t>
      </w:r>
    </w:p>
    <w:p w:rsidR="00000000" w:rsidRPr="005A6A31" w:rsidP="005A6A31">
      <w:pPr>
        <w:pStyle w:val="Heading1"/>
      </w:pPr>
      <w:bookmarkStart w:id="6" w:name="O_929178"/>
      <w:bookmarkEnd w:id="6"/>
      <w:r w:rsidRPr="005A6A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A6A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Elements desc</w:t>
            </w:r>
            <w:r w:rsidRPr="005A6A31">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Performance criteria describe the performance needed to demonstrate achievement of the element.</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6A31" w:rsidP="005A6A31">
            <w:pPr>
              <w:pStyle w:val="BodyText"/>
            </w:pPr>
            <w:r w:rsidRPr="005A6A31">
              <w:t>1</w:t>
            </w:r>
          </w:p>
        </w:tc>
        <w:tc>
          <w:tcPr>
            <w:tcW w:w="1962" w:type="dxa"/>
            <w:vMerge w:val="restart"/>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rPr>
                <w:rStyle w:val="SpecialBold"/>
              </w:rPr>
              <w:t>Establish the suitability of resources</w:t>
            </w: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1.1</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Check all information conforms with resources</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1.2</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Record discrepancies in information</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1.3</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Report any inaccuracies in information to the person in charge</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1.4</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Identify and select materials, components, tools and equipment</w:t>
            </w:r>
          </w:p>
        </w:tc>
      </w:tr>
      <w:tr w:rsidTr="005A6A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6A31">
            <w:pPr>
              <w:pStyle w:val="BodyText"/>
              <w:rPr>
                <w:lang w:val="en-NZ"/>
              </w:rPr>
            </w:pP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6A31" w:rsidP="005A6A31">
            <w:pPr>
              <w:pStyle w:val="BodyText"/>
            </w:pPr>
            <w:r w:rsidRPr="005A6A31">
              <w:t>2</w:t>
            </w:r>
          </w:p>
        </w:tc>
        <w:tc>
          <w:tcPr>
            <w:tcW w:w="1962" w:type="dxa"/>
            <w:vMerge w:val="restart"/>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rPr>
                <w:rStyle w:val="SpecialBold"/>
              </w:rPr>
              <w:t>Undertake mechanical design</w:t>
            </w: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2.1</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Determine strength requirements</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2.2</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Determine operating temperature range</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2.3</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Select materials/mix with appropriate mechanical strength</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2.4</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Identify hazards of materials and processes to be used and apply hierarchy of control to control hazards</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2.5</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Determine expansion which will occur for this material</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2.6</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Adjust material/mix to be suitable for temperatures</w:t>
            </w:r>
          </w:p>
        </w:tc>
      </w:tr>
      <w:tr w:rsidTr="005A6A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6A31">
            <w:pPr>
              <w:pStyle w:val="BodyText"/>
              <w:rPr>
                <w:lang w:val="en-NZ"/>
              </w:rPr>
            </w:pP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6A31" w:rsidP="005A6A31">
            <w:pPr>
              <w:pStyle w:val="BodyText"/>
            </w:pPr>
            <w:r w:rsidRPr="005A6A31">
              <w:t>3</w:t>
            </w:r>
          </w:p>
        </w:tc>
        <w:tc>
          <w:tcPr>
            <w:tcW w:w="1962" w:type="dxa"/>
            <w:vMerge w:val="restart"/>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rPr>
                <w:rStyle w:val="SpecialBold"/>
              </w:rPr>
              <w:t>Undertake thermal design</w:t>
            </w: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3.1</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Determine heat flow through the refractory</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3.2</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Determine interface temperatures for multi-component linings</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3.3</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Use simple software</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3.4</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Determine interface bonding/anchor issues</w:t>
            </w:r>
          </w:p>
        </w:tc>
      </w:tr>
      <w:tr w:rsidTr="005A6A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6A31">
            <w:pPr>
              <w:pStyle w:val="BodyText"/>
              <w:rPr>
                <w:lang w:val="en-NZ"/>
              </w:rPr>
            </w:pP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6A31" w:rsidP="005A6A31">
            <w:pPr>
              <w:pStyle w:val="BodyText"/>
            </w:pPr>
            <w:r w:rsidRPr="005A6A31">
              <w:t>4</w:t>
            </w:r>
          </w:p>
        </w:tc>
        <w:tc>
          <w:tcPr>
            <w:tcW w:w="1962" w:type="dxa"/>
            <w:vMerge w:val="restart"/>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rPr>
                <w:rStyle w:val="SpecialBold"/>
              </w:rPr>
              <w:t>Specify refractory design</w:t>
            </w: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4.1</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Specify materials to be used</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4.2</w:t>
            </w:r>
          </w:p>
        </w:tc>
        <w:tc>
          <w:tcPr>
            <w:tcW w:w="561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Specify installation method to be used</w:t>
            </w:r>
          </w:p>
        </w:tc>
      </w:tr>
      <w:tr w:rsidTr="005A6A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4.3</w:t>
            </w:r>
          </w:p>
        </w:tc>
        <w:tc>
          <w:tcPr>
            <w:tcW w:w="5610" w:type="dxa"/>
            <w:tcBorders>
              <w:top w:val="nil"/>
              <w:left w:val="nil"/>
              <w:bottom w:val="nil"/>
              <w:right w:val="nil"/>
            </w:tcBorders>
            <w:tcMar>
              <w:top w:w="0" w:type="dxa"/>
              <w:left w:w="62" w:type="dxa"/>
              <w:bottom w:w="0" w:type="dxa"/>
              <w:right w:w="62" w:type="dxa"/>
            </w:tcMar>
          </w:tcPr>
          <w:p w:rsidR="00000000" w:rsidRPr="005A6A31" w:rsidP="005A6A31">
            <w:pPr>
              <w:pStyle w:val="BodyText"/>
            </w:pPr>
            <w:r w:rsidRPr="005A6A31">
              <w:t>Confirm specification meets customer needs and installer requirements</w:t>
            </w:r>
          </w:p>
        </w:tc>
      </w:tr>
    </w:tbl>
    <w:p w:rsidR="00000000" w:rsidRPr="005A6A31" w:rsidP="005A6A31">
      <w:pPr>
        <w:pStyle w:val="BodyText"/>
      </w:pPr>
    </w:p>
    <w:p w:rsidR="00000000" w:rsidRPr="005A6A31" w:rsidP="005A6A31">
      <w:pPr>
        <w:pStyle w:val="AllowPageBreak"/>
      </w:pPr>
    </w:p>
    <w:p w:rsidR="00000000" w:rsidRPr="005A6A31" w:rsidP="005A6A31">
      <w:pPr>
        <w:pStyle w:val="Heading1"/>
      </w:pPr>
      <w:bookmarkStart w:id="7" w:name="O_929177"/>
      <w:bookmarkEnd w:id="7"/>
      <w:r w:rsidRPr="005A6A31">
        <w:t>Foundation Skills</w:t>
      </w:r>
    </w:p>
    <w:p w:rsidR="00000000" w:rsidRPr="005A6A31" w:rsidP="00CC3BBA">
      <w:pPr>
        <w:pStyle w:val="BodyText"/>
      </w:pPr>
      <w:r w:rsidRPr="005A6A31">
        <w:t>This section describes those required skills (language, literacy and numeracy) that are essential to performance.</w:t>
      </w:r>
    </w:p>
    <w:p w:rsidR="00000000" w:rsidRPr="005A6A31" w:rsidP="00CC3BBA">
      <w:pPr>
        <w:pStyle w:val="BodyText"/>
      </w:pPr>
      <w:r w:rsidRPr="005A6A31">
        <w:t>Foundation skills essential to performance are explicit in the performance criteria of this unit of competency.</w:t>
      </w:r>
    </w:p>
    <w:p w:rsidR="00000000" w:rsidRPr="005A6A31" w:rsidP="005A6A31">
      <w:pPr>
        <w:pStyle w:val="Heading1"/>
      </w:pPr>
      <w:bookmarkStart w:id="8" w:name="O_929176"/>
      <w:bookmarkEnd w:id="8"/>
      <w:r w:rsidRPr="005A6A31">
        <w:t>Range of Conditions</w:t>
      </w:r>
    </w:p>
    <w:tbl>
      <w:tblPr>
        <w:tblW w:w="0" w:type="auto"/>
        <w:tblCellMar>
          <w:left w:w="62" w:type="dxa"/>
          <w:right w:w="62" w:type="dxa"/>
        </w:tblCellMar>
        <w:tblLook w:val="0000"/>
      </w:tblPr>
      <w:tblGrid>
        <w:gridCol w:w="2163"/>
        <w:gridCol w:w="7033"/>
      </w:tblGrid>
      <w:tr w:rsidTr="00CC3B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t>This field allows for different work environments and conditions that may affect performance. Essential ope</w:t>
            </w:r>
            <w:r w:rsidRPr="005A6A31">
              <w:t>rating conditions that may be present (depending on the work situation, needs of the candidate, accessibility of the item, and local industry and regional contexts) are included.</w:t>
            </w:r>
          </w:p>
        </w:tc>
      </w:tr>
      <w:tr w:rsidTr="00CC3B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6A31" w:rsidP="005A6A31">
            <w:pPr>
              <w:pStyle w:val="BodyText"/>
            </w:pPr>
            <w:r w:rsidRPr="005A6A31">
              <w:rPr>
                <w:rStyle w:val="SpecialBold"/>
              </w:rPr>
              <w:t>Regulatory framework</w:t>
            </w:r>
            <w:r w:rsidRPr="005A6A31">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A6A31" w:rsidP="005A6A31">
            <w:pPr>
              <w:pStyle w:val="BodyText"/>
            </w:pPr>
            <w:r w:rsidRPr="005A6A31">
              <w:t xml:space="preserve">The latest version of all legislation, regulations, </w:t>
            </w:r>
            <w:r w:rsidRPr="005A6A31">
              <w:t>industry codes of practice and Australian/international standards, or the version specified by the local regulatory authority, must be used.</w:t>
            </w:r>
          </w:p>
          <w:p w:rsidR="00000000" w:rsidRPr="005A6A31" w:rsidP="005A6A31">
            <w:pPr>
              <w:pStyle w:val="BodyText"/>
            </w:pPr>
          </w:p>
          <w:p w:rsidR="00000000" w:rsidRPr="005A6A31" w:rsidP="005A6A31">
            <w:pPr>
              <w:pStyle w:val="BodyText"/>
            </w:pPr>
            <w:r w:rsidRPr="005A6A31">
              <w:t>Applicable legislation, regulations, standards and codes of practice include:</w:t>
            </w:r>
          </w:p>
          <w:p w:rsidR="00000000" w:rsidRPr="005A6A31" w:rsidP="005A6A31">
            <w:pPr>
              <w:pStyle w:val="ListBullet"/>
            </w:pPr>
            <w:r w:rsidRPr="005A6A31">
              <w:t>health, safety and environmental (H</w:t>
            </w:r>
            <w:r w:rsidRPr="005A6A31">
              <w:t>SE) legislation, regulations and codes of practice relevant to the workplace, equipment and production processes and hazardous materials</w:t>
            </w:r>
          </w:p>
          <w:p w:rsidR="00000000" w:rsidRPr="005A6A31" w:rsidP="005A6A31">
            <w:pPr>
              <w:pStyle w:val="ListBullet"/>
            </w:pPr>
            <w:r w:rsidRPr="005A6A31">
              <w:t xml:space="preserve">Australian/international standards relevant to the materials being used and products being made </w:t>
            </w:r>
          </w:p>
          <w:p w:rsidR="00000000" w:rsidRPr="005A6A31" w:rsidP="005A6A31">
            <w:pPr>
              <w:pStyle w:val="ListBullet"/>
            </w:pPr>
            <w:r w:rsidRPr="005A6A31">
              <w:t>any relevant licence and certification requirements.</w:t>
            </w:r>
          </w:p>
          <w:p w:rsidR="00000000" w:rsidRPr="005A6A31" w:rsidP="005A6A31">
            <w:pPr>
              <w:pStyle w:val="BodyText"/>
            </w:pPr>
          </w:p>
          <w:p w:rsidR="00000000" w:rsidRPr="005A6A31" w:rsidP="005A6A31">
            <w:pPr>
              <w:pStyle w:val="BodyText"/>
            </w:pPr>
            <w:r w:rsidRPr="005A6A31">
              <w:t>All operations to which this unit applies are subject to stringent HSE requirements, which may be imposed through state/territory or federal legislation, and these must not be compromised at any time. W</w:t>
            </w:r>
            <w:r w:rsidRPr="005A6A31">
              <w:t>here there is an apparent conflict between performance criteria and such requirements the legislative requirements take precedence.</w:t>
            </w:r>
          </w:p>
          <w:p w:rsidR="00000000" w:rsidP="005A6A31">
            <w:pPr>
              <w:pStyle w:val="BodyText"/>
              <w:rPr>
                <w:lang w:val="en-NZ"/>
              </w:rPr>
            </w:pPr>
          </w:p>
        </w:tc>
      </w:tr>
      <w:tr w:rsidTr="00CC3B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A6A31" w:rsidP="005A6A31">
            <w:pPr>
              <w:pStyle w:val="BodyText"/>
            </w:pPr>
            <w:r w:rsidRPr="005A6A31">
              <w:t>All operations must be performed in accordance with relevant procedures.</w:t>
            </w:r>
          </w:p>
          <w:p w:rsidR="00000000" w:rsidRPr="005A6A31" w:rsidP="005A6A31">
            <w:pPr>
              <w:pStyle w:val="BodyText"/>
            </w:pPr>
          </w:p>
          <w:p w:rsidR="00000000" w:rsidRPr="005A6A31" w:rsidP="005A6A31">
            <w:pPr>
              <w:pStyle w:val="BodyText"/>
            </w:pPr>
            <w:r w:rsidRPr="005A6A31">
              <w:t>Procedures are written, verbal, visua</w:t>
            </w:r>
            <w:r w:rsidRPr="005A6A31">
              <w:t>l, computer-based or in some other form, and include one or any combination of:</w:t>
            </w:r>
          </w:p>
          <w:p w:rsidR="00000000" w:rsidRPr="005A6A31" w:rsidP="005A6A31">
            <w:pPr>
              <w:pStyle w:val="ListBullet"/>
            </w:pPr>
            <w:r w:rsidRPr="005A6A31">
              <w:t>manufacturer</w:t>
            </w:r>
            <w:r>
              <w:t>’</w:t>
            </w:r>
            <w:r w:rsidRPr="005A6A31">
              <w:t xml:space="preserve">s technical information </w:t>
            </w:r>
          </w:p>
          <w:p w:rsidR="00000000" w:rsidRPr="005A6A31" w:rsidP="005A6A31">
            <w:pPr>
              <w:pStyle w:val="ListBullet"/>
            </w:pPr>
            <w:r w:rsidRPr="005A6A31">
              <w:t>job cards</w:t>
            </w:r>
          </w:p>
          <w:p w:rsidR="00000000" w:rsidRPr="005A6A31" w:rsidP="005A6A31">
            <w:pPr>
              <w:pStyle w:val="ListBullet"/>
            </w:pPr>
            <w:r w:rsidRPr="005A6A31">
              <w:t>drawings</w:t>
            </w:r>
          </w:p>
          <w:p w:rsidR="00000000" w:rsidRPr="005A6A31" w:rsidP="005A6A31">
            <w:pPr>
              <w:pStyle w:val="ListBullet"/>
            </w:pPr>
            <w:r w:rsidRPr="005A6A31">
              <w:t>emergency procedures</w:t>
            </w:r>
          </w:p>
          <w:p w:rsidR="00000000" w:rsidRPr="005A6A31" w:rsidP="005A6A31">
            <w:pPr>
              <w:pStyle w:val="ListBullet"/>
            </w:pPr>
            <w:r w:rsidRPr="005A6A31">
              <w:t>work instructions</w:t>
            </w:r>
          </w:p>
          <w:p w:rsidR="00000000" w:rsidRPr="005A6A31" w:rsidP="005A6A31">
            <w:pPr>
              <w:pStyle w:val="ListBullet"/>
            </w:pPr>
            <w:r w:rsidRPr="005A6A31">
              <w:t>standard operating procedures (SOPs)</w:t>
            </w:r>
          </w:p>
          <w:p w:rsidR="00000000" w:rsidRPr="005A6A31" w:rsidP="005A6A31">
            <w:pPr>
              <w:pStyle w:val="ListBullet"/>
            </w:pPr>
            <w:r w:rsidRPr="005A6A31">
              <w:t>safe work method statements (SWMS)</w:t>
            </w:r>
          </w:p>
          <w:p w:rsidR="00000000" w:rsidRPr="005A6A31" w:rsidP="005A6A31">
            <w:pPr>
              <w:pStyle w:val="ListBullet"/>
            </w:pPr>
            <w:r w:rsidRPr="005A6A31">
              <w:t>formulas/recipes</w:t>
            </w:r>
          </w:p>
          <w:p w:rsidR="00000000" w:rsidRPr="005A6A31" w:rsidP="005A6A31">
            <w:pPr>
              <w:pStyle w:val="ListBullet"/>
            </w:pPr>
            <w:r w:rsidRPr="005A6A31">
              <w:t>batch sheets</w:t>
            </w:r>
          </w:p>
          <w:p w:rsidR="00000000" w:rsidRPr="005A6A31" w:rsidP="005A6A31">
            <w:pPr>
              <w:pStyle w:val="ListBullet"/>
            </w:pPr>
            <w:r w:rsidRPr="005A6A31">
              <w:t>temporary instructions</w:t>
            </w:r>
          </w:p>
          <w:p w:rsidR="00000000" w:rsidRPr="005A6A31" w:rsidP="005A6A31">
            <w:pPr>
              <w:pStyle w:val="ListBullet"/>
            </w:pPr>
            <w:r w:rsidRPr="005A6A31">
              <w:t>any similar instructions provided for the smooth running of the plant.</w:t>
            </w:r>
          </w:p>
          <w:p w:rsidR="00000000" w:rsidP="005A6A31">
            <w:pPr>
              <w:pStyle w:val="BodyText"/>
              <w:rPr>
                <w:lang w:val="en-NZ"/>
              </w:rPr>
            </w:pPr>
          </w:p>
        </w:tc>
      </w:tr>
      <w:tr w:rsidTr="00CC3B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6A31">
            <w:pPr>
              <w:pStyle w:val="BodyText"/>
              <w:rPr>
                <w:lang w:val="en-NZ"/>
              </w:rPr>
            </w:pPr>
            <w:r w:rsidRPr="005A6A3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A6A31" w:rsidP="005A6A31">
            <w:pPr>
              <w:pStyle w:val="BodyText"/>
            </w:pPr>
            <w:r w:rsidRPr="005A6A31">
              <w:t>Hazards must be identified and controlled. Identifying hazards requires consideration of:</w:t>
            </w:r>
          </w:p>
          <w:p w:rsidR="00000000" w:rsidRPr="005A6A31" w:rsidP="005A6A31">
            <w:pPr>
              <w:pStyle w:val="ListBullet"/>
            </w:pPr>
            <w:r w:rsidRPr="005A6A31">
              <w:t>health and safety risks</w:t>
            </w:r>
          </w:p>
          <w:p w:rsidR="00000000" w:rsidRPr="005A6A31" w:rsidP="005A6A31">
            <w:pPr>
              <w:pStyle w:val="ListBullet"/>
            </w:pPr>
            <w:r w:rsidRPr="005A6A31">
              <w:t>sustain</w:t>
            </w:r>
            <w:r w:rsidRPr="005A6A31">
              <w:t>ability risks</w:t>
            </w:r>
          </w:p>
          <w:p w:rsidR="00000000" w:rsidRPr="005A6A31" w:rsidP="005A6A31">
            <w:pPr>
              <w:pStyle w:val="ListBullet"/>
            </w:pPr>
            <w:r w:rsidRPr="005A6A31">
              <w:t>regulatory risks.</w:t>
            </w:r>
          </w:p>
        </w:tc>
      </w:tr>
    </w:tbl>
    <w:p w:rsidR="00000000" w:rsidRPr="005A6A31" w:rsidP="005A6A31">
      <w:pPr>
        <w:pStyle w:val="BodyText"/>
      </w:pPr>
    </w:p>
    <w:p w:rsidR="00000000" w:rsidRPr="005A6A31" w:rsidP="005A6A31">
      <w:pPr>
        <w:pStyle w:val="AllowPageBreak"/>
      </w:pPr>
    </w:p>
    <w:p w:rsidR="00000000" w:rsidRPr="005A6A31" w:rsidP="005A6A31">
      <w:pPr>
        <w:pStyle w:val="Heading1"/>
      </w:pPr>
      <w:bookmarkStart w:id="9" w:name="O_929175"/>
      <w:bookmarkEnd w:id="9"/>
      <w:r w:rsidRPr="005A6A31">
        <w:t>Unit Mapping Information</w:t>
      </w:r>
    </w:p>
    <w:p w:rsidR="00000000" w:rsidRPr="005A6A31" w:rsidP="00CC3BBA">
      <w:pPr>
        <w:pStyle w:val="BodyText"/>
      </w:pPr>
      <w:r w:rsidRPr="005A6A31">
        <w:t xml:space="preserve">Release 1. Supersedes and is equivalent to PMC554090B Undertake simple refractory design. </w:t>
      </w:r>
    </w:p>
    <w:p w:rsidR="00000000" w:rsidRPr="005A6A31" w:rsidP="005A6A31">
      <w:pPr>
        <w:pStyle w:val="Heading1"/>
      </w:pPr>
      <w:bookmarkStart w:id="10" w:name="O_929168"/>
      <w:bookmarkEnd w:id="10"/>
      <w:r w:rsidRPr="005A6A31">
        <w:t>Links</w:t>
      </w:r>
    </w:p>
    <w:p w:rsidR="00000000" w:rsidRPr="005A6A31" w:rsidP="00CC3BBA">
      <w:pPr>
        <w:pStyle w:val="BodyText"/>
      </w:pPr>
      <w:r w:rsidRPr="005A6A3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C2543">
        <w:rPr>
          <w:rStyle w:val="Hyperlink"/>
        </w:rPr>
        <w:t>https://vetnet.gov.au/Pages/TrainingDocs.aspx?q=45a7f1d5-61a5-447a-9688-7abbd7e1a5c7</w:t>
      </w:r>
      <w:r>
        <w:fldChar w:fldCharType="end"/>
      </w:r>
    </w:p>
    <w:p w:rsidR="00000000" w:rsidRPr="005A6A31" w:rsidP="00CC3BBA">
      <w:pPr>
        <w:pStyle w:val="BodyText"/>
        <w:sectPr w:rsidSect="005A6A31">
          <w:headerReference w:type="default" r:id="rId10"/>
          <w:footerReference w:type="default" r:id="rId11"/>
          <w:pgSz w:w="11908" w:h="16833"/>
          <w:pgMar w:top="1702" w:right="1418" w:bottom="1702" w:left="1418" w:header="992" w:footer="992" w:gutter="0"/>
          <w:cols w:space="720"/>
          <w:noEndnote/>
          <w:docGrid w:linePitch="299"/>
        </w:sectPr>
      </w:pPr>
    </w:p>
    <w:p w:rsidR="00000000" w:rsidRPr="005A6A31" w:rsidP="005A6A31">
      <w:pPr>
        <w:pStyle w:val="SuperHeading"/>
      </w:pPr>
      <w:r w:rsidRPr="005A6A31">
        <w:t>Assessment Requirements for PMC554090 Undertake simple refracto</w:t>
      </w:r>
      <w:r w:rsidRPr="005A6A31">
        <w:t>ry design</w:t>
      </w:r>
    </w:p>
    <w:p w:rsidR="00000000" w:rsidRPr="005A6A31" w:rsidP="005A6A31">
      <w:pPr>
        <w:pStyle w:val="Heading1"/>
      </w:pPr>
      <w:bookmarkStart w:id="11" w:name="O_929170"/>
      <w:bookmarkEnd w:id="11"/>
      <w:r w:rsidRPr="005A6A31">
        <w:t>Modification History</w:t>
      </w:r>
    </w:p>
    <w:p w:rsidR="00000000" w:rsidRPr="005A6A31" w:rsidP="00CC3BBA">
      <w:pPr>
        <w:pStyle w:val="BodyText"/>
      </w:pPr>
      <w:r w:rsidRPr="005A6A31">
        <w:t xml:space="preserve">Release 1. Supersedes and is equivalent to PMC554090B Undertake simple refractory design. </w:t>
      </w:r>
    </w:p>
    <w:p w:rsidR="00000000" w:rsidRPr="005A6A31" w:rsidP="005A6A31">
      <w:pPr>
        <w:pStyle w:val="Heading1"/>
      </w:pPr>
      <w:bookmarkStart w:id="12" w:name="O_929173"/>
      <w:bookmarkEnd w:id="12"/>
      <w:r w:rsidRPr="005A6A31">
        <w:t>Performance Evidence</w:t>
      </w:r>
    </w:p>
    <w:p w:rsidR="00000000" w:rsidRPr="005A6A31" w:rsidP="00CC3BBA">
      <w:pPr>
        <w:pStyle w:val="BodyText"/>
      </w:pPr>
      <w:r w:rsidRPr="005A6A31">
        <w:t>Evidence required to demonstrate competence in this unit must be relevant to and satisfy the requirements of the elements and performance criteria and demonstrate the ability to:</w:t>
      </w:r>
    </w:p>
    <w:p w:rsidR="00000000" w:rsidRPr="005A6A31" w:rsidP="005A6A31">
      <w:pPr>
        <w:pStyle w:val="ListBullet"/>
      </w:pPr>
      <w:r w:rsidRPr="005A6A31">
        <w:t xml:space="preserve">read and interpret technical reports, technical specifications and data </w:t>
      </w:r>
    </w:p>
    <w:p w:rsidR="00000000" w:rsidRPr="005A6A31" w:rsidP="005A6A31">
      <w:pPr>
        <w:pStyle w:val="ListBullet"/>
      </w:pPr>
      <w:r w:rsidRPr="005A6A31">
        <w:t>con</w:t>
      </w:r>
      <w:r w:rsidRPr="005A6A31">
        <w:t xml:space="preserve">firm technical requirements for refractory </w:t>
      </w:r>
    </w:p>
    <w:p w:rsidR="00000000" w:rsidRPr="005A6A31" w:rsidP="005A6A31">
      <w:pPr>
        <w:pStyle w:val="ListBullet"/>
      </w:pPr>
      <w:r w:rsidRPr="005A6A31">
        <w:t xml:space="preserve">determine and specify materials and installation to meet mechanical and thermal requirements </w:t>
      </w:r>
    </w:p>
    <w:p w:rsidR="00000000" w:rsidRPr="005A6A31" w:rsidP="005A6A31">
      <w:pPr>
        <w:pStyle w:val="ListBullet"/>
      </w:pPr>
      <w:r w:rsidRPr="005A6A31">
        <w:t xml:space="preserve">communicate technical information verbally and in writing/drawings </w:t>
      </w:r>
    </w:p>
    <w:p w:rsidR="00000000" w:rsidRPr="005A6A31" w:rsidP="005A6A31">
      <w:pPr>
        <w:pStyle w:val="ListBullet"/>
      </w:pPr>
      <w:r w:rsidRPr="005A6A31">
        <w:t>communicate with internal and external stakeholder</w:t>
      </w:r>
      <w:r w:rsidRPr="005A6A31">
        <w:t>s, including one or more of:</w:t>
      </w:r>
    </w:p>
    <w:p w:rsidR="00000000" w:rsidRPr="005A6A31" w:rsidP="005A6A31">
      <w:pPr>
        <w:pStyle w:val="ListBullet2"/>
      </w:pPr>
      <w:r w:rsidRPr="005A6A31">
        <w:t>customer representatives</w:t>
      </w:r>
    </w:p>
    <w:p w:rsidR="00000000" w:rsidRPr="005A6A31" w:rsidP="005A6A31">
      <w:pPr>
        <w:pStyle w:val="ListBullet2"/>
      </w:pPr>
      <w:r w:rsidRPr="005A6A31">
        <w:t>technical experts</w:t>
      </w:r>
    </w:p>
    <w:p w:rsidR="00000000" w:rsidRPr="005A6A31" w:rsidP="005A6A31">
      <w:pPr>
        <w:pStyle w:val="ListBullet2"/>
      </w:pPr>
      <w:r w:rsidRPr="005A6A31">
        <w:t>engineers</w:t>
      </w:r>
    </w:p>
    <w:p w:rsidR="00000000" w:rsidRPr="005A6A31" w:rsidP="005A6A31">
      <w:pPr>
        <w:pStyle w:val="ListBullet2"/>
      </w:pPr>
      <w:r w:rsidRPr="005A6A31">
        <w:t>refractory installer</w:t>
      </w:r>
    </w:p>
    <w:p w:rsidR="00000000" w:rsidRPr="005A6A31" w:rsidP="005A6A31">
      <w:pPr>
        <w:pStyle w:val="ListBullet"/>
      </w:pPr>
      <w:r w:rsidRPr="005A6A31">
        <w:t xml:space="preserve">apply complex and/or theoretical mathematical calculations </w:t>
      </w:r>
    </w:p>
    <w:p w:rsidR="00000000" w:rsidRPr="005A6A31" w:rsidP="005A6A31">
      <w:pPr>
        <w:pStyle w:val="ListBullet"/>
      </w:pPr>
      <w:r w:rsidRPr="005A6A31">
        <w:t>identify hazards and apply relevant hazard controls.</w:t>
      </w:r>
    </w:p>
    <w:p w:rsidR="00000000" w:rsidRPr="005A6A31" w:rsidP="005A6A31">
      <w:pPr>
        <w:pStyle w:val="AllowPageBreak"/>
      </w:pPr>
    </w:p>
    <w:p w:rsidR="00000000" w:rsidRPr="005A6A31" w:rsidP="005A6A31">
      <w:pPr>
        <w:pStyle w:val="Heading1"/>
      </w:pPr>
      <w:bookmarkStart w:id="13" w:name="O_929172"/>
      <w:bookmarkEnd w:id="13"/>
      <w:r w:rsidRPr="005A6A31">
        <w:t>Knowledge Evidence</w:t>
      </w:r>
    </w:p>
    <w:p w:rsidR="00000000" w:rsidRPr="005A6A31" w:rsidP="00CC3BBA">
      <w:pPr>
        <w:pStyle w:val="BodyText"/>
      </w:pPr>
      <w:r w:rsidRPr="005A6A31">
        <w:t>Must provide evidence that demonstrates knowledge relevant to their job sufficient to fulfil their job role, including knowledge of:</w:t>
      </w:r>
    </w:p>
    <w:p w:rsidR="00000000" w:rsidRPr="005A6A31" w:rsidP="005A6A31">
      <w:pPr>
        <w:pStyle w:val="ListBullet"/>
      </w:pPr>
      <w:r w:rsidRPr="005A6A31">
        <w:t>properties of all common refractory materials</w:t>
      </w:r>
    </w:p>
    <w:p w:rsidR="00000000" w:rsidRPr="005A6A31" w:rsidP="005A6A31">
      <w:pPr>
        <w:pStyle w:val="ListBullet"/>
      </w:pPr>
      <w:r w:rsidRPr="005A6A31">
        <w:t>application and limitations of installation techniques, including:</w:t>
      </w:r>
    </w:p>
    <w:p w:rsidR="00000000" w:rsidRPr="005A6A31" w:rsidP="005A6A31">
      <w:pPr>
        <w:pStyle w:val="ListBullet2"/>
      </w:pPr>
      <w:r w:rsidRPr="005A6A31">
        <w:t xml:space="preserve">bricks, </w:t>
      </w:r>
      <w:r w:rsidRPr="005A6A31">
        <w:t>blocks</w:t>
      </w:r>
    </w:p>
    <w:p w:rsidR="00000000" w:rsidRPr="005A6A31" w:rsidP="005A6A31">
      <w:pPr>
        <w:pStyle w:val="ListBullet2"/>
      </w:pPr>
      <w:r w:rsidRPr="005A6A31">
        <w:t>mouldables</w:t>
      </w:r>
    </w:p>
    <w:p w:rsidR="00000000" w:rsidRPr="005A6A31" w:rsidP="005A6A31">
      <w:pPr>
        <w:pStyle w:val="ListBullet2"/>
      </w:pPr>
      <w:r w:rsidRPr="005A6A31">
        <w:t>castable</w:t>
      </w:r>
    </w:p>
    <w:p w:rsidR="00000000" w:rsidRPr="005A6A31" w:rsidP="005A6A31">
      <w:pPr>
        <w:pStyle w:val="ListBullet2"/>
      </w:pPr>
      <w:r w:rsidRPr="005A6A31">
        <w:t>spray/gunned application</w:t>
      </w:r>
    </w:p>
    <w:p w:rsidR="00000000" w:rsidRPr="005A6A31" w:rsidP="005A6A31">
      <w:pPr>
        <w:pStyle w:val="ListBullet"/>
      </w:pPr>
      <w:r w:rsidRPr="005A6A31">
        <w:t xml:space="preserve">heat flow calculations </w:t>
      </w:r>
    </w:p>
    <w:p w:rsidR="00000000" w:rsidRPr="005A6A31" w:rsidP="005A6A31">
      <w:pPr>
        <w:pStyle w:val="ListBullet"/>
      </w:pPr>
      <w:r w:rsidRPr="005A6A31">
        <w:t>key factors in refractory design, including:</w:t>
      </w:r>
    </w:p>
    <w:p w:rsidR="00000000" w:rsidRPr="005A6A31" w:rsidP="005A6A31">
      <w:pPr>
        <w:pStyle w:val="ListBullet2"/>
      </w:pPr>
      <w:r w:rsidRPr="005A6A31">
        <w:t>heat transfer</w:t>
      </w:r>
    </w:p>
    <w:p w:rsidR="00000000" w:rsidRPr="005A6A31" w:rsidP="005A6A31">
      <w:pPr>
        <w:pStyle w:val="ListBullet2"/>
      </w:pPr>
      <w:r w:rsidRPr="005A6A31">
        <w:t>thermal expansion</w:t>
      </w:r>
    </w:p>
    <w:p w:rsidR="00000000" w:rsidRPr="005A6A31" w:rsidP="005A6A31">
      <w:pPr>
        <w:pStyle w:val="ListBullet2"/>
      </w:pPr>
      <w:r w:rsidRPr="005A6A31">
        <w:t>abrasion</w:t>
      </w:r>
    </w:p>
    <w:p w:rsidR="00000000" w:rsidRPr="005A6A31" w:rsidP="005A6A31">
      <w:pPr>
        <w:pStyle w:val="ListBullet2"/>
      </w:pPr>
      <w:r w:rsidRPr="005A6A31">
        <w:t>structural strength</w:t>
      </w:r>
    </w:p>
    <w:p w:rsidR="00000000" w:rsidRPr="005A6A31" w:rsidP="005A6A31">
      <w:pPr>
        <w:pStyle w:val="ListBullet2"/>
      </w:pPr>
      <w:r w:rsidRPr="005A6A31">
        <w:t>methods of tying refractories</w:t>
      </w:r>
    </w:p>
    <w:p w:rsidR="00000000" w:rsidRPr="005A6A31" w:rsidP="005A6A31">
      <w:pPr>
        <w:pStyle w:val="ListBullet"/>
      </w:pPr>
      <w:r w:rsidRPr="005A6A31">
        <w:t>heat transfer calculations (resistances in series and parallel)</w:t>
      </w:r>
    </w:p>
    <w:p w:rsidR="00000000" w:rsidRPr="005A6A31" w:rsidP="005A6A31">
      <w:pPr>
        <w:pStyle w:val="ListBullet"/>
      </w:pPr>
      <w:r w:rsidRPr="005A6A31">
        <w:t>regulatory framework</w:t>
      </w:r>
    </w:p>
    <w:p w:rsidR="00000000" w:rsidRPr="005A6A31" w:rsidP="005A6A31">
      <w:pPr>
        <w:pStyle w:val="ListBullet"/>
      </w:pPr>
      <w:r w:rsidRPr="005A6A31">
        <w:t>hierarchy of control</w:t>
      </w:r>
    </w:p>
    <w:p w:rsidR="00000000" w:rsidRPr="005A6A31" w:rsidP="005A6A31">
      <w:pPr>
        <w:pStyle w:val="ListBullet"/>
      </w:pPr>
      <w:r w:rsidRPr="005A6A31">
        <w:t>hazards that may arise in the job/work environment and:</w:t>
      </w:r>
    </w:p>
    <w:p w:rsidR="00000000" w:rsidRPr="005A6A31" w:rsidP="005A6A31">
      <w:pPr>
        <w:pStyle w:val="ListBullet2"/>
      </w:pPr>
      <w:r w:rsidRPr="005A6A31">
        <w:t xml:space="preserve">their possible causes </w:t>
      </w:r>
    </w:p>
    <w:p w:rsidR="00000000" w:rsidRPr="005A6A31" w:rsidP="005A6A31">
      <w:pPr>
        <w:pStyle w:val="ListBullet2"/>
      </w:pPr>
      <w:r w:rsidRPr="005A6A31">
        <w:t>potential consequences</w:t>
      </w:r>
    </w:p>
    <w:p w:rsidR="00000000" w:rsidRPr="005A6A31" w:rsidP="005A6A31">
      <w:pPr>
        <w:pStyle w:val="ListBullet2"/>
      </w:pPr>
      <w:r w:rsidRPr="005A6A31">
        <w:t>appropriate risk controls.</w:t>
      </w:r>
    </w:p>
    <w:p w:rsidR="00000000" w:rsidRPr="005A6A31" w:rsidP="005A6A31">
      <w:pPr>
        <w:pStyle w:val="AllowPageBreak"/>
      </w:pPr>
    </w:p>
    <w:p w:rsidR="00000000" w:rsidRPr="005A6A31" w:rsidP="005A6A31">
      <w:pPr>
        <w:pStyle w:val="Heading1"/>
      </w:pPr>
      <w:bookmarkStart w:id="14" w:name="O_929171"/>
      <w:bookmarkEnd w:id="14"/>
      <w:r w:rsidRPr="005A6A31">
        <w:t>Assessment Conditions</w:t>
      </w:r>
    </w:p>
    <w:p w:rsidR="00000000" w:rsidRPr="005A6A31" w:rsidP="005A6A31">
      <w:pPr>
        <w:pStyle w:val="ListBullet"/>
      </w:pPr>
      <w:r w:rsidRPr="005A6A31">
        <w:t xml:space="preserve">The unit should be assessed holistically and the judgement of competence shall be based on a holistic assessment of the evidence. </w:t>
      </w:r>
    </w:p>
    <w:p w:rsidR="00000000" w:rsidRPr="005A6A31" w:rsidP="005A6A31">
      <w:pPr>
        <w:pStyle w:val="ListBullet"/>
      </w:pPr>
      <w:r w:rsidRPr="005A6A31">
        <w:t>The collection of performance evidence is best done from a report and/or folio of evidence drawn from:</w:t>
      </w:r>
    </w:p>
    <w:p w:rsidR="00000000" w:rsidRPr="005A6A31" w:rsidP="005A6A31">
      <w:pPr>
        <w:pStyle w:val="ListBullet2"/>
      </w:pPr>
      <w:r w:rsidRPr="005A6A31">
        <w:t>a single project which provides sufficient evidence of the requirements of all the elements and performance criteria</w:t>
      </w:r>
    </w:p>
    <w:p w:rsidR="00000000" w:rsidRPr="005A6A31" w:rsidP="005A6A31">
      <w:pPr>
        <w:pStyle w:val="ListBullet2"/>
      </w:pPr>
      <w:r w:rsidRPr="005A6A31">
        <w:t>multiple smaller projects which together provide sufficient evidence of the requirements of all the elements and performance criteria.</w:t>
      </w:r>
    </w:p>
    <w:p w:rsidR="00000000" w:rsidRPr="005A6A31" w:rsidP="005A6A31">
      <w:pPr>
        <w:pStyle w:val="ListBullet"/>
      </w:pPr>
      <w:r w:rsidRPr="005A6A31">
        <w:t>A</w:t>
      </w:r>
      <w:r w:rsidRPr="005A6A31">
        <w:t xml:space="preserve"> third-party report, or similar, may be needed to testify to the work done by the individual, particularly when the project has been done as part of a project team.</w:t>
      </w:r>
    </w:p>
    <w:p w:rsidR="00000000" w:rsidRPr="005A6A31" w:rsidP="005A6A31">
      <w:pPr>
        <w:pStyle w:val="ListBullet"/>
      </w:pPr>
      <w:r w:rsidRPr="005A6A31">
        <w:t>Assessment should use a real project in an operational workplace. Where this is not possibl</w:t>
      </w:r>
      <w:r w:rsidRPr="005A6A31">
        <w:t>e or where personal safety or environmental damage are limiting factors assessment must occur using a sufficiently rigorous simulated environment that reflects realistic operational workplace conditions. This must cover all aspects of workplace performance</w:t>
      </w:r>
      <w:r w:rsidRPr="005A6A31">
        <w:t>, including environment, task skills, task management skills, contingency management skills and job role environment skills.</w:t>
      </w:r>
    </w:p>
    <w:p w:rsidR="00000000" w:rsidRPr="005A6A31" w:rsidP="005A6A31">
      <w:pPr>
        <w:pStyle w:val="ListBullet"/>
      </w:pPr>
      <w:r w:rsidRPr="005A6A31">
        <w:t xml:space="preserve">Assessment in a simulated environment should use evidence collected from demonstration of skills and one or more of: </w:t>
      </w:r>
    </w:p>
    <w:p w:rsidR="00000000" w:rsidRPr="005A6A31" w:rsidP="005A6A31">
      <w:pPr>
        <w:pStyle w:val="ListBullet2"/>
      </w:pPr>
      <w:r w:rsidRPr="005A6A31">
        <w:t>walk-through</w:t>
      </w:r>
      <w:r w:rsidRPr="005A6A31">
        <w:t>s</w:t>
      </w:r>
    </w:p>
    <w:p w:rsidR="00000000" w:rsidRPr="005A6A31" w:rsidP="005A6A31">
      <w:pPr>
        <w:pStyle w:val="ListBullet2"/>
      </w:pPr>
      <w:r w:rsidRPr="005A6A31">
        <w:t>pilot plant operation</w:t>
      </w:r>
    </w:p>
    <w:p w:rsidR="00000000" w:rsidRPr="005A6A31" w:rsidP="005A6A31">
      <w:pPr>
        <w:pStyle w:val="ListBullet2"/>
      </w:pPr>
      <w:r w:rsidRPr="005A6A31">
        <w:t xml:space="preserve">industry-based case studies/scenarios </w:t>
      </w:r>
    </w:p>
    <w:p w:rsidR="00000000" w:rsidRPr="005A6A31" w:rsidP="005A6A31">
      <w:pPr>
        <w:pStyle w:val="ListBullet2"/>
      </w:pPr>
      <w:r w:rsidRPr="005A6A31">
        <w:t>‘what ifs’.</w:t>
      </w:r>
    </w:p>
    <w:p w:rsidR="00000000" w:rsidRPr="005A6A31" w:rsidP="005A6A31">
      <w:pPr>
        <w:pStyle w:val="ListBullet"/>
      </w:pPr>
      <w:r w:rsidRPr="005A6A31">
        <w:t>Knowledge evidence may be collected concurrently with performance evidence or through an independent process, such as workbooks, written assessments or interviews.</w:t>
      </w:r>
    </w:p>
    <w:p w:rsidR="00000000" w:rsidRPr="005A6A31" w:rsidP="005A6A31">
      <w:pPr>
        <w:pStyle w:val="ListBullet"/>
      </w:pPr>
      <w:r w:rsidRPr="005A6A31">
        <w:t>Assessment processes and techniques must be appropriate to the language, literacy and numeracy requirements of the work being performed and the needs of the candidate.</w:t>
      </w:r>
    </w:p>
    <w:p w:rsidR="00000000" w:rsidRPr="005A6A31" w:rsidP="005A6A31">
      <w:pPr>
        <w:pStyle w:val="ListBullet"/>
      </w:pPr>
      <w:r w:rsidRPr="005A6A31">
        <w:t>Conditions for assessment must include access to all tools, equipment, materials and doc</w:t>
      </w:r>
      <w:r w:rsidRPr="005A6A31">
        <w:t>umentation required, including relevant workplace procedures, product and manufacturing specifications associated with this unit.</w:t>
      </w:r>
    </w:p>
    <w:p w:rsidR="00000000" w:rsidRPr="005A6A31" w:rsidP="005A6A31">
      <w:pPr>
        <w:pStyle w:val="ListBullet"/>
      </w:pPr>
      <w:r w:rsidRPr="005A6A31">
        <w:t>The regulatory framework will be reflected in workplace policies and procedures and is not required to be independently assess</w:t>
      </w:r>
      <w:r w:rsidRPr="005A6A31">
        <w:t>ed.</w:t>
      </w:r>
    </w:p>
    <w:p w:rsidR="00000000" w:rsidRPr="005A6A31" w:rsidP="005A6A31">
      <w:pPr>
        <w:pStyle w:val="ListBullet"/>
      </w:pPr>
      <w:r w:rsidRPr="005A6A31">
        <w:t>Foundation skills are integral to competent performance of the unit and should not be assessed separately.</w:t>
      </w:r>
    </w:p>
    <w:p w:rsidR="00000000" w:rsidRPr="005A6A31" w:rsidP="005A6A31">
      <w:pPr>
        <w:pStyle w:val="ListBullet"/>
      </w:pPr>
      <w:r w:rsidRPr="005A6A31">
        <w:t>Assessors must satisfy the assessor competency requirements that are in place at the time of the assessment as set by the VET regulator.</w:t>
      </w:r>
    </w:p>
    <w:p w:rsidR="00000000" w:rsidRPr="005A6A31" w:rsidP="005A6A31">
      <w:pPr>
        <w:pStyle w:val="ListBullet"/>
      </w:pPr>
      <w:r w:rsidRPr="005A6A31">
        <w:t>In addit</w:t>
      </w:r>
      <w:r w:rsidRPr="005A6A31">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5A6A31">
        <w:t xml:space="preserve">does meet these requirements. </w:t>
      </w:r>
    </w:p>
    <w:p w:rsidR="00000000" w:rsidRPr="005A6A31" w:rsidP="005A6A31">
      <w:pPr>
        <w:pStyle w:val="ListBullet"/>
      </w:pPr>
      <w:r w:rsidRPr="005A6A31">
        <w:t>Technical competence can be demonstrated through one or more of:</w:t>
      </w:r>
    </w:p>
    <w:p w:rsidR="00000000" w:rsidRPr="005A6A31" w:rsidP="005A6A31">
      <w:pPr>
        <w:pStyle w:val="ListBullet2"/>
      </w:pPr>
      <w:r w:rsidRPr="005A6A31">
        <w:t xml:space="preserve">relevant VET or other qualification/Statement of Attainment </w:t>
      </w:r>
    </w:p>
    <w:p w:rsidR="00000000" w:rsidRPr="005A6A31" w:rsidP="005A6A31">
      <w:pPr>
        <w:pStyle w:val="ListBullet2"/>
      </w:pPr>
      <w:r w:rsidRPr="005A6A31">
        <w:t>appropriate workplace experience undertaking the type of work being assessed under routine and non</w:t>
      </w:r>
      <w:r w:rsidRPr="005A6A31">
        <w:t xml:space="preserve">-routine conditions </w:t>
      </w:r>
    </w:p>
    <w:p w:rsidR="00000000" w:rsidRPr="005A6A31" w:rsidP="005A6A31">
      <w:pPr>
        <w:pStyle w:val="ListBullet2"/>
      </w:pPr>
      <w:r w:rsidRPr="005A6A31">
        <w:t>appropriate workplace experience supervising/evaluating the type of work being assessed under routine and non-routine conditions</w:t>
      </w:r>
    </w:p>
    <w:p w:rsidR="00000000" w:rsidRPr="005A6A31" w:rsidP="005A6A31">
      <w:pPr>
        <w:pStyle w:val="ListBullet"/>
      </w:pPr>
      <w:r w:rsidRPr="005A6A31">
        <w:t>Currency can be demonstrated through one or more of:</w:t>
      </w:r>
    </w:p>
    <w:p w:rsidR="00000000" w:rsidRPr="005A6A31" w:rsidP="005A6A31">
      <w:pPr>
        <w:pStyle w:val="ListBullet2"/>
      </w:pPr>
      <w:r w:rsidRPr="005A6A31">
        <w:t xml:space="preserve">being currently employed undertaking the type of work being assessed </w:t>
      </w:r>
    </w:p>
    <w:p w:rsidR="00000000" w:rsidRPr="005A6A31" w:rsidP="005A6A31">
      <w:pPr>
        <w:pStyle w:val="ListBullet2"/>
      </w:pPr>
      <w:r w:rsidRPr="005A6A31">
        <w:t xml:space="preserve">being employed by the organisation undertaking the type of work being assessed and having </w:t>
      </w:r>
      <w:r w:rsidRPr="005A6A31">
        <w:t xml:space="preserve">maintained currency in accordance with that organisation’s policies and procedures </w:t>
      </w:r>
    </w:p>
    <w:p w:rsidR="00000000" w:rsidRPr="005A6A31" w:rsidP="005A6A31">
      <w:pPr>
        <w:pStyle w:val="ListBullet2"/>
      </w:pPr>
      <w:r w:rsidRPr="005A6A31">
        <w:t>having consu</w:t>
      </w:r>
      <w:r w:rsidRPr="005A6A31">
        <w:t xml:space="preserve">lted/had contact with an organisation undertaking the type of work being assessed within the last twelve months, the consultation/contact being related to assessment </w:t>
      </w:r>
    </w:p>
    <w:p w:rsidR="00000000" w:rsidRPr="005A6A31" w:rsidP="005A6A31">
      <w:pPr>
        <w:pStyle w:val="ListBullet2"/>
      </w:pPr>
      <w:r w:rsidRPr="005A6A31">
        <w:t xml:space="preserve">conducting on the job training/assessments of the type of work being assessed </w:t>
      </w:r>
    </w:p>
    <w:p w:rsidR="00000000" w:rsidRPr="005A6A31" w:rsidP="005A6A31">
      <w:pPr>
        <w:pStyle w:val="ListBullet2"/>
      </w:pPr>
      <w:r w:rsidRPr="005A6A31">
        <w:t>being an a</w:t>
      </w:r>
      <w:r w:rsidRPr="005A6A31">
        <w:t>ctive member of a relevant professional body and participating in activities relevant to the assessment of this type of work.</w:t>
      </w:r>
    </w:p>
    <w:p w:rsidR="00000000" w:rsidRPr="005A6A31" w:rsidP="005A6A31">
      <w:pPr>
        <w:pStyle w:val="AllowPageBreak"/>
      </w:pPr>
    </w:p>
    <w:p w:rsidR="00000000" w:rsidRPr="005A6A31" w:rsidP="005A6A31">
      <w:pPr>
        <w:pStyle w:val="Heading1"/>
      </w:pPr>
      <w:bookmarkStart w:id="15" w:name="O_929169"/>
      <w:bookmarkEnd w:id="15"/>
      <w:r w:rsidRPr="005A6A31">
        <w:t>Links</w:t>
      </w:r>
    </w:p>
    <w:p w:rsidR="00000000" w:rsidRPr="005A6A31" w:rsidP="00CC3BBA">
      <w:pPr>
        <w:pStyle w:val="BodyText"/>
      </w:pPr>
      <w:r w:rsidRPr="005A6A3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C2543">
        <w:rPr>
          <w:rStyle w:val="Hyperlink"/>
        </w:rPr>
        <w:t>https://vetnet.gov.au/Pages/TrainingDocs.aspx?q=45a7f1d5-61a5-447a-9688-7abbd7e1a5c7</w:t>
      </w:r>
      <w:r>
        <w:fldChar w:fldCharType="end"/>
      </w:r>
    </w:p>
    <w:p w:rsidR="00000000" w:rsidRPr="005A6A31" w:rsidP="005A6A31"/>
    <w:sectPr w:rsidSect="005A6A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31" w:rsidRPr="00CC3BBA" w:rsidP="00CC3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BA" w:rsidP="005A6A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C3BBA" w:rsidP="005A6A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3BBA" w:rsidP="005A6A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31" w:rsidP="005A6A31">
    <w:pPr>
      <w:pStyle w:val="Footer"/>
      <w:framePr w:wrap="around"/>
    </w:pPr>
    <w:r>
      <w:fldChar w:fldCharType="begin"/>
    </w:r>
    <w:r>
      <w:instrText xml:space="preserve"> DOCPROPERTY  Subject  \* MERGEFORMAT </w:instrText>
    </w:r>
    <w:r>
      <w:fldChar w:fldCharType="separate"/>
    </w:r>
    <w:r w:rsidR="00CC3BBA">
      <w:t>Approved</w:t>
    </w:r>
    <w:r w:rsidR="00CC3BBA">
      <w:fldChar w:fldCharType="end"/>
    </w:r>
    <w:r>
      <w:tab/>
      <w:t xml:space="preserve">Page </w:t>
    </w:r>
    <w:r>
      <w:fldChar w:fldCharType="begin"/>
    </w:r>
    <w:r>
      <w:instrText xml:space="preserve"> PAGE  \* Arabic  \* MERGEFORMAT </w:instrText>
    </w:r>
    <w:r>
      <w:fldChar w:fldCharType="separate"/>
    </w:r>
    <w:r w:rsidR="00CC3BB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BBA">
      <w:rPr>
        <w:noProof/>
      </w:rPr>
      <w:t>6</w:t>
    </w:r>
    <w:r>
      <w:rPr>
        <w:noProof/>
      </w:rPr>
      <w:fldChar w:fldCharType="end"/>
    </w:r>
  </w:p>
  <w:p w:rsidR="005A6A31" w:rsidP="005A6A31">
    <w:pPr>
      <w:pStyle w:val="Footer"/>
      <w:framePr w:wrap="around"/>
    </w:pPr>
    <w:r>
      <w:t xml:space="preserve">© Commonwealth of Australia, </w:t>
    </w:r>
    <w:r>
      <w:fldChar w:fldCharType="begin"/>
    </w:r>
    <w:r>
      <w:instrText xml:space="preserve"> DATE  \@ "yyyy"  \* MERGEFORMAT </w:instrText>
    </w:r>
    <w:r>
      <w:fldChar w:fldCharType="separate"/>
    </w:r>
    <w:r w:rsidR="00CC3BBA">
      <w:rPr>
        <w:noProof/>
      </w:rPr>
      <w:t>2025</w:t>
    </w:r>
    <w:r>
      <w:fldChar w:fldCharType="end"/>
    </w:r>
    <w:r>
      <w:tab/>
    </w:r>
    <w:r>
      <w:fldChar w:fldCharType="begin"/>
    </w:r>
    <w:r>
      <w:instrText xml:space="preserve"> DOCPROPERTY  Author  \* MERGEFORMAT </w:instrText>
    </w:r>
    <w:r>
      <w:fldChar w:fldCharType="separate"/>
    </w:r>
    <w:r w:rsidR="00CC3BBA">
      <w:t>Manufacturing Industry Skills Alliance</w:t>
    </w:r>
    <w:r w:rsidR="00CC3BBA">
      <w:fldChar w:fldCharType="end"/>
    </w:r>
  </w:p>
  <w:p w:rsidR="005A6A31" w:rsidP="005A6A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A31" w:rsidRPr="00CC3BBA" w:rsidP="00CC3B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BA" w:rsidRPr="002D2AF8" w:rsidP="005A6A31">
    <w:pPr>
      <w:pStyle w:val="Header"/>
      <w:framePr w:wrap="around"/>
    </w:pPr>
    <w:r>
      <w:fldChar w:fldCharType="begin"/>
    </w:r>
    <w:r>
      <w:instrText xml:space="preserve"> TITLE   \* MERGEFORMAT </w:instrText>
    </w:r>
    <w:r>
      <w:fldChar w:fldCharType="separate"/>
    </w:r>
    <w:r>
      <w:t>PMC554090 Undertake simple refractory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3BBA" w:rsidP="005A6A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31" w:rsidRPr="002D2AF8" w:rsidP="005A6A31">
    <w:pPr>
      <w:pStyle w:val="Header"/>
      <w:framePr w:wrap="around"/>
    </w:pPr>
    <w:r>
      <w:fldChar w:fldCharType="begin"/>
    </w:r>
    <w:r>
      <w:instrText xml:space="preserve"> TITLE   \* MERGEFORMAT </w:instrText>
    </w:r>
    <w:r>
      <w:fldChar w:fldCharType="separate"/>
    </w:r>
    <w:r w:rsidR="00CC3BBA">
      <w:t>PMC554090 Undertake simple refractory design</w:t>
    </w:r>
    <w:r w:rsidR="00CC3BBA">
      <w:fldChar w:fldCharType="end"/>
    </w:r>
    <w:r>
      <w:tab/>
      <w:t xml:space="preserve">Date this document was generated: </w:t>
    </w:r>
    <w:r>
      <w:fldChar w:fldCharType="begin"/>
    </w:r>
    <w:r>
      <w:instrText xml:space="preserve"> CREATEDATE  \@ "d MMMM yyyy"  \* MERGEFORMAT </w:instrText>
    </w:r>
    <w:r>
      <w:fldChar w:fldCharType="separate"/>
    </w:r>
    <w:r w:rsidR="00CC3BBA">
      <w:rPr>
        <w:noProof/>
      </w:rPr>
      <w:t>2 March 2025</w:t>
    </w:r>
    <w:r>
      <w:fldChar w:fldCharType="end"/>
    </w:r>
  </w:p>
  <w:p w:rsidR="005A6A31" w:rsidP="005A6A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C8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385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28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A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A31"/>
    <w:pPr>
      <w:spacing w:before="360" w:after="60"/>
      <w:outlineLvl w:val="0"/>
    </w:pPr>
    <w:rPr>
      <w:sz w:val="32"/>
    </w:rPr>
  </w:style>
  <w:style w:type="paragraph" w:styleId="Heading2">
    <w:name w:val="heading 2"/>
    <w:basedOn w:val="HeadingBase"/>
    <w:next w:val="BodyText"/>
    <w:link w:val="Heading2Char"/>
    <w:qFormat/>
    <w:rsid w:val="005A6A31"/>
    <w:pPr>
      <w:keepLines/>
      <w:spacing w:before="240" w:after="120"/>
      <w:outlineLvl w:val="1"/>
    </w:pPr>
    <w:rPr>
      <w:sz w:val="28"/>
      <w:szCs w:val="40"/>
    </w:rPr>
  </w:style>
  <w:style w:type="paragraph" w:styleId="Heading3">
    <w:name w:val="heading 3"/>
    <w:basedOn w:val="HeadingBase"/>
    <w:next w:val="BodyText"/>
    <w:link w:val="Heading3Char"/>
    <w:qFormat/>
    <w:rsid w:val="005A6A31"/>
    <w:pPr>
      <w:spacing w:before="180" w:after="120"/>
      <w:outlineLvl w:val="2"/>
    </w:pPr>
    <w:rPr>
      <w:spacing w:val="-10"/>
      <w:kern w:val="32"/>
    </w:rPr>
  </w:style>
  <w:style w:type="paragraph" w:styleId="Heading4">
    <w:name w:val="heading 4"/>
    <w:basedOn w:val="HeadingBase"/>
    <w:next w:val="BodyText"/>
    <w:link w:val="Heading4Char"/>
    <w:qFormat/>
    <w:rsid w:val="005A6A31"/>
    <w:pPr>
      <w:spacing w:before="160" w:after="120"/>
      <w:outlineLvl w:val="3"/>
    </w:pPr>
    <w:rPr>
      <w:sz w:val="22"/>
    </w:rPr>
  </w:style>
  <w:style w:type="paragraph" w:styleId="Heading5">
    <w:name w:val="heading 5"/>
    <w:basedOn w:val="HeadingBase"/>
    <w:next w:val="Normal"/>
    <w:link w:val="Heading5Char"/>
    <w:qFormat/>
    <w:rsid w:val="005A6A31"/>
    <w:pPr>
      <w:spacing w:before="80"/>
      <w:outlineLvl w:val="4"/>
    </w:pPr>
    <w:rPr>
      <w:color w:val="918585"/>
      <w:sz w:val="20"/>
    </w:rPr>
  </w:style>
  <w:style w:type="paragraph" w:styleId="Heading6">
    <w:name w:val="heading 6"/>
    <w:basedOn w:val="HeadingBase"/>
    <w:next w:val="Normal"/>
    <w:link w:val="Heading6Char"/>
    <w:qFormat/>
    <w:rsid w:val="005A6A31"/>
    <w:pPr>
      <w:spacing w:before="60"/>
      <w:outlineLvl w:val="5"/>
    </w:pPr>
    <w:rPr>
      <w:color w:val="918585"/>
      <w:sz w:val="20"/>
    </w:rPr>
  </w:style>
  <w:style w:type="paragraph" w:styleId="Heading7">
    <w:name w:val="heading 7"/>
    <w:basedOn w:val="Normal"/>
    <w:next w:val="Normal"/>
    <w:link w:val="Heading7Char"/>
    <w:qFormat/>
    <w:rsid w:val="005A6A31"/>
    <w:pPr>
      <w:ind w:left="720"/>
      <w:outlineLvl w:val="6"/>
    </w:pPr>
    <w:rPr>
      <w:i/>
    </w:rPr>
  </w:style>
  <w:style w:type="paragraph" w:styleId="Heading8">
    <w:name w:val="heading 8"/>
    <w:basedOn w:val="Normal"/>
    <w:next w:val="Normal"/>
    <w:link w:val="Heading8Char"/>
    <w:qFormat/>
    <w:rsid w:val="005A6A31"/>
    <w:pPr>
      <w:ind w:left="720"/>
      <w:outlineLvl w:val="7"/>
    </w:pPr>
    <w:rPr>
      <w:i/>
    </w:rPr>
  </w:style>
  <w:style w:type="paragraph" w:styleId="Heading9">
    <w:name w:val="heading 9"/>
    <w:basedOn w:val="Normal"/>
    <w:next w:val="Normal"/>
    <w:link w:val="Heading9Char"/>
    <w:qFormat/>
    <w:rsid w:val="005A6A31"/>
    <w:pPr>
      <w:ind w:left="720"/>
      <w:outlineLvl w:val="8"/>
    </w:pPr>
    <w:rPr>
      <w:i/>
    </w:rPr>
  </w:style>
  <w:style w:type="character" w:default="1" w:styleId="DefaultParagraphFont">
    <w:name w:val="Default Paragraph Font"/>
    <w:uiPriority w:val="1"/>
    <w:unhideWhenUsed/>
    <w:rsid w:val="005A6A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A31"/>
  </w:style>
  <w:style w:type="character" w:customStyle="1" w:styleId="Heading1Char">
    <w:name w:val="Heading 1 Char"/>
    <w:basedOn w:val="DefaultParagraphFont"/>
    <w:link w:val="Heading1"/>
    <w:rsid w:val="005A6A31"/>
    <w:rPr>
      <w:rFonts w:ascii="Times New Roman" w:eastAsia="Times New Roman" w:hAnsi="Times New Roman" w:cs="Times New Roman"/>
      <w:b/>
      <w:sz w:val="32"/>
      <w:szCs w:val="20"/>
      <w:lang w:eastAsia="en-US"/>
    </w:rPr>
  </w:style>
  <w:style w:type="paragraph" w:styleId="BodyText">
    <w:name w:val="Body Text"/>
    <w:basedOn w:val="Normal"/>
    <w:link w:val="BodyTextChar"/>
    <w:rsid w:val="005A6A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A31"/>
    <w:rPr>
      <w:rFonts w:ascii="Times New Roman" w:eastAsia="Times New Roman" w:hAnsi="Times New Roman" w:cs="Times New Roman"/>
      <w:sz w:val="24"/>
      <w:lang w:eastAsia="en-US"/>
    </w:rPr>
  </w:style>
  <w:style w:type="paragraph" w:styleId="ListBullet">
    <w:name w:val="List Bullet"/>
    <w:basedOn w:val="List"/>
    <w:rsid w:val="005A6A31"/>
    <w:pPr>
      <w:numPr>
        <w:numId w:val="12"/>
      </w:numPr>
      <w:tabs>
        <w:tab w:val="clear" w:pos="340"/>
      </w:tabs>
      <w:spacing w:before="40" w:after="40"/>
    </w:pPr>
  </w:style>
  <w:style w:type="character" w:customStyle="1" w:styleId="SpecialBold">
    <w:name w:val="Special Bold"/>
    <w:basedOn w:val="DefaultParagraphFont"/>
    <w:rsid w:val="005A6A31"/>
    <w:rPr>
      <w:b/>
      <w:spacing w:val="0"/>
    </w:rPr>
  </w:style>
  <w:style w:type="paragraph" w:styleId="ListBullet2">
    <w:name w:val="List Bullet 2"/>
    <w:basedOn w:val="List2"/>
    <w:rsid w:val="005A6A31"/>
    <w:pPr>
      <w:numPr>
        <w:numId w:val="13"/>
      </w:numPr>
      <w:tabs>
        <w:tab w:val="clear" w:pos="680"/>
      </w:tabs>
    </w:pPr>
  </w:style>
  <w:style w:type="paragraph" w:customStyle="1" w:styleId="SuperHeading">
    <w:name w:val="SuperHeading"/>
    <w:basedOn w:val="Normal"/>
    <w:rsid w:val="005A6A31"/>
    <w:pPr>
      <w:spacing w:before="240" w:after="120"/>
      <w:outlineLvl w:val="0"/>
    </w:pPr>
    <w:rPr>
      <w:rFonts w:ascii="Times New Roman" w:hAnsi="Times New Roman"/>
      <w:b/>
      <w:sz w:val="32"/>
    </w:rPr>
  </w:style>
  <w:style w:type="paragraph" w:customStyle="1" w:styleId="AllowPageBreak">
    <w:name w:val="AllowPageBreak"/>
    <w:rsid w:val="005A6A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A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A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A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A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A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A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A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A31"/>
    <w:rPr>
      <w:rFonts w:ascii="Courier New" w:eastAsia="Times New Roman" w:hAnsi="Courier New" w:cs="Times New Roman"/>
      <w:i/>
      <w:szCs w:val="20"/>
      <w:lang w:eastAsia="en-US"/>
    </w:rPr>
  </w:style>
  <w:style w:type="paragraph" w:customStyle="1" w:styleId="HeadingBase">
    <w:name w:val="Heading Base"/>
    <w:rsid w:val="005A6A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A31"/>
    <w:pPr>
      <w:tabs>
        <w:tab w:val="right" w:leader="dot" w:pos="9072"/>
      </w:tabs>
      <w:ind w:left="567"/>
    </w:pPr>
    <w:rPr>
      <w:szCs w:val="22"/>
    </w:rPr>
  </w:style>
  <w:style w:type="paragraph" w:customStyle="1" w:styleId="TOCBase">
    <w:name w:val="TOC Base"/>
    <w:rsid w:val="005A6A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A31"/>
    <w:pPr>
      <w:tabs>
        <w:tab w:val="right" w:leader="dot" w:pos="9072"/>
      </w:tabs>
      <w:spacing w:before="40" w:after="40"/>
      <w:ind w:left="284"/>
    </w:pPr>
    <w:rPr>
      <w:rFonts w:ascii="Times New Roman" w:hAnsi="Times New Roman"/>
    </w:rPr>
  </w:style>
  <w:style w:type="paragraph" w:styleId="TOC1">
    <w:name w:val="toc 1"/>
    <w:basedOn w:val="TOCBase"/>
    <w:next w:val="Normal"/>
    <w:rsid w:val="005A6A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A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A31"/>
    <w:rPr>
      <w:rFonts w:ascii="Times New Roman" w:eastAsia="Times New Roman" w:hAnsi="Times New Roman" w:cs="Times New Roman"/>
      <w:sz w:val="16"/>
      <w:lang w:eastAsia="en-US"/>
    </w:rPr>
  </w:style>
  <w:style w:type="paragraph" w:styleId="Title">
    <w:name w:val="Title"/>
    <w:basedOn w:val="HeadingBase"/>
    <w:link w:val="TitleChar"/>
    <w:qFormat/>
    <w:rsid w:val="005A6A31"/>
    <w:pPr>
      <w:spacing w:before="5040"/>
      <w:jc w:val="center"/>
    </w:pPr>
    <w:rPr>
      <w:sz w:val="48"/>
      <w:szCs w:val="72"/>
      <w:lang w:val="en-US"/>
    </w:rPr>
  </w:style>
  <w:style w:type="character" w:customStyle="1" w:styleId="TitleChar">
    <w:name w:val="Title Char"/>
    <w:basedOn w:val="DefaultParagraphFont"/>
    <w:link w:val="Title"/>
    <w:rsid w:val="005A6A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A31"/>
    <w:pPr>
      <w:tabs>
        <w:tab w:val="left" w:pos="3600"/>
        <w:tab w:val="left" w:pos="3958"/>
      </w:tabs>
    </w:pPr>
  </w:style>
  <w:style w:type="paragraph" w:styleId="List">
    <w:name w:val="List"/>
    <w:basedOn w:val="BodyText"/>
    <w:next w:val="BodyText"/>
    <w:rsid w:val="005A6A31"/>
    <w:pPr>
      <w:tabs>
        <w:tab w:val="left" w:pos="340"/>
      </w:tabs>
      <w:spacing w:before="60" w:after="60"/>
      <w:ind w:left="340" w:hanging="340"/>
    </w:pPr>
  </w:style>
  <w:style w:type="paragraph" w:customStyle="1" w:styleId="Note">
    <w:name w:val="Note"/>
    <w:basedOn w:val="BodyText"/>
    <w:rsid w:val="005A6A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A31"/>
    <w:pPr>
      <w:framePr w:wrap="auto" w:hAnchor="text" w:y="6049"/>
    </w:pPr>
    <w:rPr>
      <w:color w:val="000000"/>
      <w:sz w:val="40"/>
    </w:rPr>
  </w:style>
  <w:style w:type="paragraph" w:customStyle="1" w:styleId="TOCTitle">
    <w:name w:val="TOCTitle"/>
    <w:basedOn w:val="Heading1"/>
    <w:rsid w:val="005A6A31"/>
    <w:pPr>
      <w:spacing w:after="240"/>
      <w:jc w:val="center"/>
      <w:outlineLvl w:val="9"/>
    </w:pPr>
    <w:rPr>
      <w:caps/>
    </w:rPr>
  </w:style>
  <w:style w:type="paragraph" w:customStyle="1" w:styleId="Version">
    <w:name w:val="Version"/>
    <w:rsid w:val="005A6A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A31"/>
    <w:pPr>
      <w:keepNext w:val="0"/>
      <w:tabs>
        <w:tab w:val="right" w:pos="4176"/>
      </w:tabs>
      <w:ind w:left="198" w:hanging="198"/>
    </w:pPr>
    <w:rPr>
      <w:rFonts w:ascii="Garamond" w:hAnsi="Garamond"/>
    </w:rPr>
  </w:style>
  <w:style w:type="paragraph" w:styleId="IndexHeading">
    <w:name w:val="index heading"/>
    <w:basedOn w:val="Normal"/>
    <w:next w:val="Index1"/>
    <w:semiHidden/>
    <w:rsid w:val="005A6A31"/>
    <w:pPr>
      <w:spacing w:before="120" w:after="120"/>
    </w:pPr>
    <w:rPr>
      <w:rFonts w:ascii="Arial" w:hAnsi="Arial"/>
      <w:b/>
      <w:color w:val="918585"/>
      <w:sz w:val="24"/>
    </w:rPr>
  </w:style>
  <w:style w:type="paragraph" w:styleId="Header">
    <w:name w:val="header"/>
    <w:basedOn w:val="Normal"/>
    <w:link w:val="HeaderChar"/>
    <w:rsid w:val="005A6A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A31"/>
    <w:rPr>
      <w:rFonts w:ascii="Times New Roman" w:eastAsia="Times New Roman" w:hAnsi="Times New Roman" w:cs="Times New Roman"/>
      <w:sz w:val="16"/>
      <w:szCs w:val="20"/>
      <w:lang w:val="en-GB" w:eastAsia="en-US"/>
    </w:rPr>
  </w:style>
  <w:style w:type="paragraph" w:customStyle="1" w:styleId="Chapter">
    <w:name w:val="Chapter"/>
    <w:basedOn w:val="Normal"/>
    <w:rsid w:val="005A6A31"/>
    <w:pPr>
      <w:spacing w:before="240"/>
    </w:pPr>
    <w:rPr>
      <w:rFonts w:ascii="Times New Roman" w:hAnsi="Times New Roman"/>
      <w:smallCaps/>
      <w:spacing w:val="80"/>
      <w:sz w:val="28"/>
    </w:rPr>
  </w:style>
  <w:style w:type="paragraph" w:customStyle="1" w:styleId="InChapter">
    <w:name w:val="InChapter"/>
    <w:basedOn w:val="Heading3"/>
    <w:rsid w:val="005A6A31"/>
    <w:pPr>
      <w:spacing w:after="240"/>
      <w:outlineLvl w:val="9"/>
    </w:pPr>
    <w:rPr>
      <w:noProof/>
    </w:rPr>
  </w:style>
  <w:style w:type="paragraph" w:styleId="Index2">
    <w:name w:val="index 2"/>
    <w:basedOn w:val="Normal"/>
    <w:next w:val="Normal"/>
    <w:semiHidden/>
    <w:rsid w:val="005A6A31"/>
    <w:pPr>
      <w:tabs>
        <w:tab w:val="right" w:pos="4176"/>
      </w:tabs>
      <w:ind w:left="568" w:hanging="284"/>
    </w:pPr>
    <w:rPr>
      <w:rFonts w:ascii="Garamond" w:hAnsi="Garamond"/>
    </w:rPr>
  </w:style>
  <w:style w:type="paragraph" w:customStyle="1" w:styleId="Byline">
    <w:name w:val="Byline"/>
    <w:rsid w:val="005A6A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A31"/>
    <w:pPr>
      <w:tabs>
        <w:tab w:val="clear" w:pos="3600"/>
        <w:tab w:val="clear" w:pos="3958"/>
      </w:tabs>
      <w:jc w:val="right"/>
    </w:pPr>
  </w:style>
  <w:style w:type="character" w:styleId="Emphasis">
    <w:name w:val="Emphasis"/>
    <w:basedOn w:val="DefaultParagraphFont"/>
    <w:qFormat/>
    <w:rsid w:val="005A6A31"/>
    <w:rPr>
      <w:i/>
    </w:rPr>
  </w:style>
  <w:style w:type="paragraph" w:styleId="Caption">
    <w:name w:val="caption"/>
    <w:basedOn w:val="BodyText"/>
    <w:next w:val="Normal"/>
    <w:qFormat/>
    <w:rsid w:val="005A6A31"/>
    <w:pPr>
      <w:framePr w:w="2268" w:hSpace="181" w:vSpace="181" w:wrap="around" w:vAnchor="text" w:hAnchor="page" w:x="1135" w:y="285" w:anchorLock="1"/>
    </w:pPr>
    <w:rPr>
      <w:i/>
    </w:rPr>
  </w:style>
  <w:style w:type="paragraph" w:customStyle="1" w:styleId="MiniTOCTitle">
    <w:name w:val="MiniTOCTitle"/>
    <w:basedOn w:val="Heading4"/>
    <w:rsid w:val="005A6A31"/>
    <w:pPr>
      <w:spacing w:before="240"/>
      <w:outlineLvl w:val="9"/>
    </w:pPr>
    <w:rPr>
      <w:noProof/>
      <w:sz w:val="24"/>
    </w:rPr>
  </w:style>
  <w:style w:type="paragraph" w:customStyle="1" w:styleId="MiniTOCItem">
    <w:name w:val="MiniTOCItem"/>
    <w:basedOn w:val="ListBullet"/>
    <w:rsid w:val="005A6A31"/>
    <w:pPr>
      <w:numPr>
        <w:numId w:val="0"/>
      </w:numPr>
      <w:tabs>
        <w:tab w:val="right" w:leader="dot" w:pos="6521"/>
      </w:tabs>
      <w:spacing w:before="0" w:after="0"/>
    </w:pPr>
  </w:style>
  <w:style w:type="paragraph" w:customStyle="1" w:styleId="TOFTitle">
    <w:name w:val="TOFTitle"/>
    <w:basedOn w:val="TOCTitle"/>
    <w:rsid w:val="005A6A31"/>
  </w:style>
  <w:style w:type="paragraph" w:styleId="TableofFigures">
    <w:name w:val="table of figures"/>
    <w:basedOn w:val="Normal"/>
    <w:next w:val="Normal"/>
    <w:semiHidden/>
    <w:rsid w:val="005A6A31"/>
    <w:pPr>
      <w:tabs>
        <w:tab w:val="right" w:leader="dot" w:pos="9072"/>
      </w:tabs>
      <w:ind w:left="970" w:hanging="403"/>
    </w:pPr>
    <w:rPr>
      <w:rFonts w:ascii="Times New Roman" w:hAnsi="Times New Roman"/>
      <w:b/>
    </w:rPr>
  </w:style>
  <w:style w:type="paragraph" w:styleId="ListNumber">
    <w:name w:val="List Number"/>
    <w:basedOn w:val="List"/>
    <w:rsid w:val="005A6A31"/>
    <w:pPr>
      <w:numPr>
        <w:numId w:val="15"/>
      </w:numPr>
      <w:tabs>
        <w:tab w:val="clear" w:pos="340"/>
      </w:tabs>
    </w:pPr>
  </w:style>
  <w:style w:type="character" w:customStyle="1" w:styleId="WingdingSymbols">
    <w:name w:val="Wingding Symbols"/>
    <w:rsid w:val="005A6A31"/>
    <w:rPr>
      <w:rFonts w:ascii="Wingdings" w:hAnsi="Wingdings"/>
    </w:rPr>
  </w:style>
  <w:style w:type="paragraph" w:customStyle="1" w:styleId="TableHeading">
    <w:name w:val="Table Heading"/>
    <w:basedOn w:val="HeadingBase"/>
    <w:rsid w:val="005A6A31"/>
    <w:pPr>
      <w:keepLines/>
      <w:pBdr>
        <w:bottom w:val="single" w:sz="6" w:space="1" w:color="918585"/>
      </w:pBdr>
      <w:spacing w:before="240"/>
    </w:pPr>
  </w:style>
  <w:style w:type="character" w:customStyle="1" w:styleId="HotSpot">
    <w:name w:val="HotSpot"/>
    <w:rsid w:val="005A6A31"/>
    <w:rPr>
      <w:color w:val="0033CC"/>
      <w:u w:val="none"/>
    </w:rPr>
  </w:style>
  <w:style w:type="paragraph" w:customStyle="1" w:styleId="BodyTextRight">
    <w:name w:val="Body Text Right"/>
    <w:basedOn w:val="BodyText"/>
    <w:rsid w:val="005A6A31"/>
    <w:pPr>
      <w:spacing w:before="0" w:after="0"/>
      <w:jc w:val="right"/>
    </w:pPr>
  </w:style>
  <w:style w:type="paragraph" w:styleId="Index3">
    <w:name w:val="index 3"/>
    <w:basedOn w:val="ListNumber2"/>
    <w:next w:val="Normal"/>
    <w:semiHidden/>
    <w:rsid w:val="005A6A31"/>
    <w:pPr>
      <w:numPr>
        <w:numId w:val="0"/>
      </w:numPr>
      <w:tabs>
        <w:tab w:val="right" w:leader="dot" w:pos="4176"/>
      </w:tabs>
    </w:pPr>
  </w:style>
  <w:style w:type="paragraph" w:styleId="ListNumber2">
    <w:name w:val="List Number 2"/>
    <w:basedOn w:val="List2"/>
    <w:rsid w:val="005A6A31"/>
    <w:pPr>
      <w:numPr>
        <w:numId w:val="10"/>
      </w:numPr>
      <w:tabs>
        <w:tab w:val="clear" w:pos="1060"/>
      </w:tabs>
    </w:pPr>
  </w:style>
  <w:style w:type="paragraph" w:customStyle="1" w:styleId="MarginNote">
    <w:name w:val="Margin Note"/>
    <w:basedOn w:val="BodyText"/>
    <w:rsid w:val="005A6A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A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A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A31"/>
    <w:rPr>
      <w:sz w:val="32"/>
    </w:rPr>
  </w:style>
  <w:style w:type="paragraph" w:customStyle="1" w:styleId="HeadingProcedure">
    <w:name w:val="Heading Procedure"/>
    <w:basedOn w:val="HeadingBase"/>
    <w:next w:val="Normal"/>
    <w:rsid w:val="005A6A31"/>
    <w:pPr>
      <w:tabs>
        <w:tab w:val="left" w:pos="0"/>
      </w:tabs>
      <w:spacing w:before="120" w:after="60"/>
    </w:pPr>
    <w:rPr>
      <w:i/>
      <w:color w:val="918585"/>
      <w:sz w:val="22"/>
    </w:rPr>
  </w:style>
  <w:style w:type="paragraph" w:customStyle="1" w:styleId="TableBodyText">
    <w:name w:val="Table Body Text"/>
    <w:basedOn w:val="BodyText"/>
    <w:rsid w:val="005A6A31"/>
    <w:pPr>
      <w:spacing w:before="60" w:after="60"/>
    </w:pPr>
  </w:style>
  <w:style w:type="paragraph" w:styleId="ListContinue">
    <w:name w:val="List Continue"/>
    <w:basedOn w:val="List"/>
    <w:rsid w:val="005A6A31"/>
    <w:pPr>
      <w:ind w:firstLine="0"/>
    </w:pPr>
  </w:style>
  <w:style w:type="paragraph" w:customStyle="1" w:styleId="ListNote">
    <w:name w:val="List Note"/>
    <w:basedOn w:val="List"/>
    <w:rsid w:val="005A6A31"/>
    <w:pPr>
      <w:pBdr>
        <w:top w:val="single" w:sz="6" w:space="2" w:color="918585"/>
        <w:bottom w:val="single" w:sz="6" w:space="2" w:color="918585"/>
      </w:pBdr>
      <w:tabs>
        <w:tab w:val="left" w:pos="1021"/>
      </w:tabs>
      <w:ind w:firstLine="0"/>
    </w:pPr>
  </w:style>
  <w:style w:type="paragraph" w:customStyle="1" w:styleId="Warning">
    <w:name w:val="Warning"/>
    <w:basedOn w:val="BodyText"/>
    <w:rsid w:val="005A6A31"/>
    <w:pPr>
      <w:shd w:val="clear" w:color="auto" w:fill="D9D9D9"/>
      <w:tabs>
        <w:tab w:val="left" w:pos="992"/>
      </w:tabs>
      <w:ind w:left="119" w:right="119"/>
    </w:pPr>
    <w:rPr>
      <w:sz w:val="20"/>
    </w:rPr>
  </w:style>
  <w:style w:type="paragraph" w:customStyle="1" w:styleId="MarginIcons">
    <w:name w:val="Margin Icons"/>
    <w:basedOn w:val="BodyText"/>
    <w:rsid w:val="005A6A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A31"/>
    <w:rPr>
      <w:rFonts w:ascii="Courier New" w:hAnsi="Courier New"/>
    </w:rPr>
  </w:style>
  <w:style w:type="paragraph" w:customStyle="1" w:styleId="NoteBullet">
    <w:name w:val="Note Bullet"/>
    <w:basedOn w:val="Note"/>
    <w:rsid w:val="005A6A31"/>
    <w:pPr>
      <w:tabs>
        <w:tab w:val="clear" w:pos="680"/>
      </w:tabs>
      <w:spacing w:before="60" w:after="60"/>
    </w:pPr>
  </w:style>
  <w:style w:type="paragraph" w:customStyle="1" w:styleId="SubHeading2">
    <w:name w:val="SubHeading2"/>
    <w:basedOn w:val="HeadingBase"/>
    <w:rsid w:val="005A6A31"/>
    <w:pPr>
      <w:spacing w:before="240" w:after="60"/>
    </w:pPr>
    <w:rPr>
      <w:sz w:val="20"/>
    </w:rPr>
  </w:style>
  <w:style w:type="paragraph" w:customStyle="1" w:styleId="SubHeading1">
    <w:name w:val="SubHeading1"/>
    <w:basedOn w:val="HeadingBase"/>
    <w:rsid w:val="005A6A31"/>
    <w:pPr>
      <w:spacing w:before="240" w:after="60"/>
    </w:pPr>
    <w:rPr>
      <w:color w:val="918585"/>
      <w:sz w:val="22"/>
    </w:rPr>
  </w:style>
  <w:style w:type="paragraph" w:customStyle="1" w:styleId="SideHeading">
    <w:name w:val="Side Heading"/>
    <w:basedOn w:val="HeadingBase"/>
    <w:rsid w:val="005A6A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A31"/>
    <w:pPr>
      <w:tabs>
        <w:tab w:val="num" w:pos="360"/>
      </w:tabs>
    </w:pPr>
  </w:style>
  <w:style w:type="paragraph" w:styleId="PlainText">
    <w:name w:val="Plain Text"/>
    <w:basedOn w:val="Normal"/>
    <w:link w:val="PlainTextChar"/>
    <w:rsid w:val="005A6A31"/>
    <w:rPr>
      <w:sz w:val="20"/>
    </w:rPr>
  </w:style>
  <w:style w:type="character" w:customStyle="1" w:styleId="PlainTextChar">
    <w:name w:val="Plain Text Char"/>
    <w:basedOn w:val="DefaultParagraphFont"/>
    <w:link w:val="PlainText"/>
    <w:rsid w:val="005A6A31"/>
    <w:rPr>
      <w:rFonts w:ascii="Courier New" w:eastAsia="Times New Roman" w:hAnsi="Courier New" w:cs="Times New Roman"/>
      <w:sz w:val="20"/>
      <w:szCs w:val="20"/>
      <w:lang w:eastAsia="en-US"/>
    </w:rPr>
  </w:style>
  <w:style w:type="character" w:customStyle="1" w:styleId="MenuOption">
    <w:name w:val="Menu Option"/>
    <w:basedOn w:val="DefaultParagraphFont"/>
    <w:rsid w:val="005A6A31"/>
    <w:rPr>
      <w:b/>
      <w:smallCaps/>
    </w:rPr>
  </w:style>
  <w:style w:type="paragraph" w:customStyle="1" w:styleId="TableListNumber">
    <w:name w:val="Table List Number"/>
    <w:basedOn w:val="ListNumber"/>
    <w:rsid w:val="005A6A31"/>
    <w:pPr>
      <w:numPr>
        <w:numId w:val="0"/>
      </w:numPr>
    </w:pPr>
  </w:style>
  <w:style w:type="paragraph" w:styleId="TOC4">
    <w:name w:val="toc 4"/>
    <w:basedOn w:val="TOCBase"/>
    <w:next w:val="Normal"/>
    <w:semiHidden/>
    <w:rsid w:val="005A6A31"/>
    <w:pPr>
      <w:tabs>
        <w:tab w:val="right" w:leader="dot" w:pos="9071"/>
      </w:tabs>
      <w:ind w:left="1701"/>
    </w:pPr>
  </w:style>
  <w:style w:type="paragraph" w:customStyle="1" w:styleId="ListAlpha">
    <w:name w:val="List Alpha"/>
    <w:basedOn w:val="List"/>
    <w:rsid w:val="005A6A31"/>
    <w:pPr>
      <w:numPr>
        <w:numId w:val="9"/>
      </w:numPr>
    </w:pPr>
  </w:style>
  <w:style w:type="paragraph" w:customStyle="1" w:styleId="ListAlpha2">
    <w:name w:val="List Alpha 2"/>
    <w:basedOn w:val="List2"/>
    <w:rsid w:val="005A6A31"/>
    <w:pPr>
      <w:numPr>
        <w:numId w:val="8"/>
      </w:numPr>
    </w:pPr>
  </w:style>
  <w:style w:type="paragraph" w:styleId="List2">
    <w:name w:val="List 2"/>
    <w:basedOn w:val="BodyText"/>
    <w:rsid w:val="005A6A31"/>
    <w:pPr>
      <w:tabs>
        <w:tab w:val="left" w:pos="680"/>
      </w:tabs>
      <w:spacing w:before="60" w:after="60"/>
      <w:ind w:left="680" w:hanging="340"/>
    </w:pPr>
  </w:style>
  <w:style w:type="paragraph" w:styleId="List3">
    <w:name w:val="List 3"/>
    <w:basedOn w:val="BodyText"/>
    <w:rsid w:val="005A6A31"/>
    <w:pPr>
      <w:tabs>
        <w:tab w:val="left" w:pos="1021"/>
      </w:tabs>
      <w:spacing w:before="60" w:after="60"/>
      <w:ind w:left="1020" w:hanging="340"/>
    </w:pPr>
  </w:style>
  <w:style w:type="paragraph" w:styleId="List4">
    <w:name w:val="List 4"/>
    <w:basedOn w:val="BodyText"/>
    <w:rsid w:val="005A6A31"/>
    <w:pPr>
      <w:tabs>
        <w:tab w:val="left" w:pos="1361"/>
      </w:tabs>
      <w:spacing w:before="60" w:after="60"/>
      <w:ind w:left="1361" w:hanging="340"/>
    </w:pPr>
  </w:style>
  <w:style w:type="paragraph" w:styleId="List5">
    <w:name w:val="List 5"/>
    <w:basedOn w:val="BodyText"/>
    <w:rsid w:val="005A6A31"/>
    <w:pPr>
      <w:tabs>
        <w:tab w:val="left" w:pos="1701"/>
      </w:tabs>
      <w:spacing w:before="60" w:after="60"/>
      <w:ind w:left="1701" w:hanging="340"/>
    </w:pPr>
  </w:style>
  <w:style w:type="paragraph" w:styleId="ListBullet3">
    <w:name w:val="List Bullet 3"/>
    <w:basedOn w:val="List3"/>
    <w:rsid w:val="005A6A31"/>
    <w:pPr>
      <w:numPr>
        <w:numId w:val="14"/>
      </w:numPr>
      <w:tabs>
        <w:tab w:val="clear" w:pos="1021"/>
      </w:tabs>
      <w:ind w:left="1037" w:hanging="357"/>
    </w:pPr>
  </w:style>
  <w:style w:type="paragraph" w:styleId="ListBullet4">
    <w:name w:val="List Bullet 4"/>
    <w:basedOn w:val="List4"/>
    <w:rsid w:val="005A6A31"/>
    <w:pPr>
      <w:numPr>
        <w:numId w:val="3"/>
      </w:numPr>
      <w:tabs>
        <w:tab w:val="clear" w:pos="1361"/>
      </w:tabs>
    </w:pPr>
  </w:style>
  <w:style w:type="paragraph" w:styleId="ListBullet5">
    <w:name w:val="List Bullet 5"/>
    <w:basedOn w:val="List5"/>
    <w:rsid w:val="005A6A31"/>
    <w:pPr>
      <w:numPr>
        <w:numId w:val="4"/>
      </w:numPr>
    </w:pPr>
  </w:style>
  <w:style w:type="paragraph" w:styleId="ListContinue2">
    <w:name w:val="List Continue 2"/>
    <w:basedOn w:val="List2"/>
    <w:rsid w:val="005A6A31"/>
    <w:pPr>
      <w:ind w:firstLine="0"/>
    </w:pPr>
  </w:style>
  <w:style w:type="paragraph" w:styleId="ListContinue3">
    <w:name w:val="List Continue 3"/>
    <w:basedOn w:val="List3"/>
    <w:rsid w:val="005A6A31"/>
    <w:pPr>
      <w:ind w:left="1021" w:firstLine="0"/>
    </w:pPr>
  </w:style>
  <w:style w:type="paragraph" w:styleId="ListContinue4">
    <w:name w:val="List Continue 4"/>
    <w:basedOn w:val="List4"/>
    <w:rsid w:val="005A6A31"/>
    <w:pPr>
      <w:ind w:firstLine="0"/>
    </w:pPr>
  </w:style>
  <w:style w:type="paragraph" w:styleId="ListContinue5">
    <w:name w:val="List Continue 5"/>
    <w:basedOn w:val="List5"/>
    <w:rsid w:val="005A6A31"/>
    <w:pPr>
      <w:ind w:firstLine="0"/>
    </w:pPr>
  </w:style>
  <w:style w:type="paragraph" w:styleId="ListNumber3">
    <w:name w:val="List Number 3"/>
    <w:basedOn w:val="List3"/>
    <w:rsid w:val="005A6A31"/>
    <w:pPr>
      <w:numPr>
        <w:numId w:val="5"/>
      </w:numPr>
    </w:pPr>
  </w:style>
  <w:style w:type="paragraph" w:styleId="ListNumber4">
    <w:name w:val="List Number 4"/>
    <w:basedOn w:val="List4"/>
    <w:rsid w:val="005A6A31"/>
    <w:pPr>
      <w:numPr>
        <w:numId w:val="6"/>
      </w:numPr>
    </w:pPr>
  </w:style>
  <w:style w:type="paragraph" w:styleId="ListNumber5">
    <w:name w:val="List Number 5"/>
    <w:basedOn w:val="List5"/>
    <w:rsid w:val="005A6A31"/>
    <w:pPr>
      <w:numPr>
        <w:numId w:val="7"/>
      </w:numPr>
    </w:pPr>
  </w:style>
  <w:style w:type="paragraph" w:styleId="BlockText">
    <w:name w:val="Block Text"/>
    <w:basedOn w:val="Normal"/>
    <w:rsid w:val="005A6A31"/>
    <w:pPr>
      <w:spacing w:after="120"/>
      <w:ind w:left="1440" w:right="1440"/>
    </w:pPr>
  </w:style>
  <w:style w:type="character" w:customStyle="1" w:styleId="Subscript">
    <w:name w:val="Subscript"/>
    <w:basedOn w:val="DefaultParagraphFont"/>
    <w:rsid w:val="005A6A31"/>
    <w:rPr>
      <w:sz w:val="16"/>
      <w:vertAlign w:val="subscript"/>
    </w:rPr>
  </w:style>
  <w:style w:type="character" w:customStyle="1" w:styleId="Superscript">
    <w:name w:val="Superscript"/>
    <w:basedOn w:val="DefaultParagraphFont"/>
    <w:rsid w:val="005A6A31"/>
    <w:rPr>
      <w:sz w:val="16"/>
      <w:vertAlign w:val="superscript"/>
    </w:rPr>
  </w:style>
  <w:style w:type="character" w:customStyle="1" w:styleId="Symbols">
    <w:name w:val="Symbols"/>
    <w:basedOn w:val="DefaultParagraphFont"/>
    <w:rsid w:val="005A6A31"/>
    <w:rPr>
      <w:rFonts w:ascii="Symbol" w:hAnsi="Symbol"/>
    </w:rPr>
  </w:style>
  <w:style w:type="character" w:customStyle="1" w:styleId="MenuOptions">
    <w:name w:val="Menu Options"/>
    <w:basedOn w:val="DefaultParagraphFont"/>
    <w:rsid w:val="005A6A31"/>
    <w:rPr>
      <w:rFonts w:ascii="Arial Narrow" w:hAnsi="Arial Narrow"/>
      <w:smallCaps/>
    </w:rPr>
  </w:style>
  <w:style w:type="character" w:customStyle="1" w:styleId="Buttons">
    <w:name w:val="Buttons"/>
    <w:basedOn w:val="DefaultParagraphFont"/>
    <w:rsid w:val="005A6A31"/>
    <w:rPr>
      <w:b/>
    </w:rPr>
  </w:style>
  <w:style w:type="character" w:customStyle="1" w:styleId="Underlined">
    <w:name w:val="Underlined"/>
    <w:basedOn w:val="DefaultParagraphFont"/>
    <w:rsid w:val="005A6A31"/>
    <w:rPr>
      <w:u w:val="single"/>
    </w:rPr>
  </w:style>
  <w:style w:type="paragraph" w:customStyle="1" w:styleId="TableBodyTextRight">
    <w:name w:val="Table Body Text Right"/>
    <w:basedOn w:val="TableBodyText"/>
    <w:rsid w:val="005A6A31"/>
    <w:pPr>
      <w:widowControl w:val="0"/>
      <w:autoSpaceDE w:val="0"/>
      <w:autoSpaceDN w:val="0"/>
      <w:adjustRightInd w:val="0"/>
      <w:jc w:val="right"/>
    </w:pPr>
    <w:rPr>
      <w:rFonts w:cs="Arial"/>
      <w:szCs w:val="18"/>
    </w:rPr>
  </w:style>
  <w:style w:type="paragraph" w:customStyle="1" w:styleId="CopyrightText">
    <w:name w:val="Copyright Text"/>
    <w:basedOn w:val="BodyText"/>
    <w:rsid w:val="005A6A31"/>
    <w:rPr>
      <w:sz w:val="18"/>
    </w:rPr>
  </w:style>
  <w:style w:type="paragraph" w:customStyle="1" w:styleId="BodySmallRight">
    <w:name w:val="Body Small Right"/>
    <w:basedOn w:val="BodyTextRight"/>
    <w:rsid w:val="005A6A31"/>
    <w:rPr>
      <w:sz w:val="18"/>
      <w:szCs w:val="18"/>
    </w:rPr>
  </w:style>
  <w:style w:type="paragraph" w:customStyle="1" w:styleId="MarginEdition">
    <w:name w:val="Margin Edition"/>
    <w:basedOn w:val="MarginNote"/>
    <w:rsid w:val="005A6A31"/>
    <w:pPr>
      <w:spacing w:before="0" w:after="0"/>
    </w:pPr>
    <w:rPr>
      <w:rFonts w:ascii="Times New Roman" w:hAnsi="Times New Roman"/>
      <w:color w:val="999999"/>
    </w:rPr>
  </w:style>
  <w:style w:type="paragraph" w:customStyle="1" w:styleId="Spacer">
    <w:name w:val="Spacer"/>
    <w:basedOn w:val="Normal"/>
    <w:rsid w:val="005A6A31"/>
    <w:rPr>
      <w:sz w:val="2"/>
      <w:szCs w:val="2"/>
    </w:rPr>
  </w:style>
  <w:style w:type="character" w:customStyle="1" w:styleId="Small">
    <w:name w:val="Small"/>
    <w:basedOn w:val="DefaultParagraphFont"/>
    <w:rsid w:val="005A6A31"/>
    <w:rPr>
      <w:sz w:val="16"/>
    </w:rPr>
  </w:style>
  <w:style w:type="paragraph" w:customStyle="1" w:styleId="WideTable">
    <w:name w:val="Wide Table"/>
    <w:basedOn w:val="Normal"/>
    <w:rsid w:val="005A6A31"/>
    <w:pPr>
      <w:ind w:left="-1418"/>
    </w:pPr>
    <w:rPr>
      <w:sz w:val="2"/>
      <w:szCs w:val="2"/>
    </w:rPr>
  </w:style>
  <w:style w:type="character" w:styleId="PageNumber">
    <w:name w:val="page number"/>
    <w:basedOn w:val="DefaultParagraphFont"/>
    <w:rsid w:val="005A6A31"/>
  </w:style>
  <w:style w:type="paragraph" w:styleId="Quote">
    <w:name w:val="Quote"/>
    <w:basedOn w:val="Heading1"/>
    <w:link w:val="QuoteChar"/>
    <w:qFormat/>
    <w:rsid w:val="005A6A31"/>
    <w:rPr>
      <w:b w:val="0"/>
      <w:sz w:val="72"/>
      <w:szCs w:val="72"/>
      <w:lang w:val="en-NZ"/>
    </w:rPr>
  </w:style>
  <w:style w:type="character" w:customStyle="1" w:styleId="QuoteChar">
    <w:name w:val="Quote Char"/>
    <w:basedOn w:val="DefaultParagraphFont"/>
    <w:link w:val="Quote"/>
    <w:rsid w:val="005A6A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A31"/>
    <w:pPr>
      <w:pageBreakBefore/>
    </w:pPr>
  </w:style>
  <w:style w:type="paragraph" w:customStyle="1" w:styleId="Border">
    <w:name w:val="Border"/>
    <w:basedOn w:val="Normal"/>
    <w:qFormat/>
    <w:rsid w:val="005A6A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A31"/>
    <w:rPr>
      <w:b/>
      <w:bCs/>
      <w:i/>
      <w:iCs/>
      <w:color w:val="auto"/>
    </w:rPr>
  </w:style>
  <w:style w:type="paragraph" w:styleId="IntenseQuote">
    <w:name w:val="Intense Quote"/>
    <w:basedOn w:val="Normal"/>
    <w:next w:val="Normal"/>
    <w:link w:val="IntenseQuoteChar"/>
    <w:uiPriority w:val="30"/>
    <w:qFormat/>
    <w:rsid w:val="005A6A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A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A31"/>
    <w:rPr>
      <w:smallCaps/>
      <w:color w:val="auto"/>
      <w:u w:val="single"/>
    </w:rPr>
  </w:style>
  <w:style w:type="character" w:styleId="IntenseReference">
    <w:name w:val="Intense Reference"/>
    <w:basedOn w:val="DefaultParagraphFont"/>
    <w:uiPriority w:val="32"/>
    <w:qFormat/>
    <w:rsid w:val="005A6A31"/>
    <w:rPr>
      <w:b/>
      <w:bCs/>
      <w:smallCaps/>
      <w:color w:val="auto"/>
      <w:spacing w:val="5"/>
      <w:u w:val="single"/>
    </w:rPr>
  </w:style>
  <w:style w:type="paragraph" w:customStyle="1" w:styleId="2ColumnHeading">
    <w:name w:val="2Column Heading"/>
    <w:basedOn w:val="BodyText"/>
    <w:qFormat/>
    <w:rsid w:val="005A6A31"/>
    <w:pPr>
      <w:spacing w:after="60"/>
      <w:ind w:left="-2268"/>
    </w:pPr>
    <w:rPr>
      <w:b/>
    </w:rPr>
  </w:style>
  <w:style w:type="paragraph" w:customStyle="1" w:styleId="Heading1TOC">
    <w:name w:val="Heading1 TOC"/>
    <w:basedOn w:val="Normal"/>
    <w:qFormat/>
    <w:rsid w:val="005A6A31"/>
    <w:pPr>
      <w:spacing w:before="240" w:after="120"/>
    </w:pPr>
    <w:rPr>
      <w:rFonts w:ascii="Times New Roman" w:hAnsi="Times New Roman"/>
      <w:b/>
      <w:sz w:val="32"/>
    </w:rPr>
  </w:style>
  <w:style w:type="paragraph" w:customStyle="1" w:styleId="Heading2TOC">
    <w:name w:val="Heading2 TOC"/>
    <w:basedOn w:val="Normal"/>
    <w:qFormat/>
    <w:rsid w:val="005A6A31"/>
    <w:pPr>
      <w:spacing w:before="240" w:after="60"/>
    </w:pPr>
    <w:rPr>
      <w:rFonts w:ascii="Times New Roman" w:hAnsi="Times New Roman"/>
      <w:b/>
      <w:sz w:val="28"/>
    </w:rPr>
  </w:style>
  <w:style w:type="character" w:customStyle="1" w:styleId="Underline">
    <w:name w:val="Underline"/>
    <w:basedOn w:val="DefaultParagraphFont"/>
    <w:qFormat/>
    <w:rsid w:val="005A6A31"/>
    <w:rPr>
      <w:u w:val="single"/>
    </w:rPr>
  </w:style>
  <w:style w:type="character" w:customStyle="1" w:styleId="BoldandItalics">
    <w:name w:val="Bold and Italics"/>
    <w:qFormat/>
    <w:rsid w:val="005A6A31"/>
    <w:rPr>
      <w:b/>
      <w:i/>
      <w:u w:val="none"/>
    </w:rPr>
  </w:style>
  <w:style w:type="paragraph" w:styleId="BalloonText">
    <w:name w:val="Balloon Text"/>
    <w:basedOn w:val="Normal"/>
    <w:link w:val="BalloonTextChar"/>
    <w:rsid w:val="005A6A31"/>
    <w:rPr>
      <w:rFonts w:ascii="Tahoma" w:hAnsi="Tahoma" w:cs="Tahoma"/>
      <w:sz w:val="16"/>
      <w:szCs w:val="16"/>
    </w:rPr>
  </w:style>
  <w:style w:type="character" w:customStyle="1" w:styleId="BalloonTextChar">
    <w:name w:val="Balloon Text Char"/>
    <w:basedOn w:val="DefaultParagraphFont"/>
    <w:link w:val="BalloonText"/>
    <w:rsid w:val="005A6A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A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A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A31"/>
    <w:rPr>
      <w:b/>
      <w:color w:val="660033"/>
      <w:spacing w:val="0"/>
    </w:rPr>
  </w:style>
  <w:style w:type="paragraph" w:customStyle="1" w:styleId="Nameditemlist">
    <w:name w:val="Named item list"/>
    <w:basedOn w:val="BodyText"/>
    <w:qFormat/>
    <w:rsid w:val="005A6A31"/>
    <w:pPr>
      <w:tabs>
        <w:tab w:val="left" w:pos="2835"/>
      </w:tabs>
      <w:ind w:left="2835" w:hanging="2835"/>
    </w:pPr>
  </w:style>
  <w:style w:type="paragraph" w:customStyle="1" w:styleId="BodyTextnopadding">
    <w:name w:val="Body Text no padding"/>
    <w:basedOn w:val="BodyText"/>
    <w:qFormat/>
    <w:rsid w:val="005A6A31"/>
    <w:pPr>
      <w:spacing w:before="0" w:after="0"/>
    </w:pPr>
  </w:style>
  <w:style w:type="paragraph" w:customStyle="1" w:styleId="BodyTextBold">
    <w:name w:val="Body Text Bold"/>
    <w:basedOn w:val="BodyText"/>
    <w:qFormat/>
    <w:rsid w:val="005A6A31"/>
    <w:rPr>
      <w:b/>
    </w:rPr>
  </w:style>
  <w:style w:type="character" w:styleId="Hyperlink">
    <w:name w:val="Hyperlink"/>
    <w:basedOn w:val="DefaultParagraphFont"/>
    <w:uiPriority w:val="99"/>
    <w:unhideWhenUsed/>
    <w:rsid w:val="00CC3B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1429</Words>
  <Characters>9236</Characters>
  <Application>Microsoft Office Word</Application>
  <DocSecurity>0</DocSecurity>
  <Lines>307</Lines>
  <Paragraphs>193</Paragraphs>
  <ScaleCrop>false</ScaleCrop>
  <Company>Author-it Software Corporation Ltd.</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PMC554090 Undertake simple refractory design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