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333" w:rsidP="004F2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PMC552023 Finish products after firing</w:t>
      </w:r>
      <w:r>
        <w:fldChar w:fldCharType="end"/>
      </w:r>
    </w:p>
    <w:p w:rsidR="004F2333" w:rsidP="004F2333">
      <w:pPr>
        <w:pStyle w:val="Version"/>
        <w:sectPr w:rsidSect="00F01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663" w:rsidP="00F01663">
      <w:pPr>
        <w:pStyle w:val="SuperHeading"/>
      </w:pPr>
      <w:r w:rsidRPr="00F01663">
        <w:t>PMC552023 Finish products after firing</w:t>
      </w:r>
    </w:p>
    <w:p w:rsidR="00000000" w:rsidRPr="00F01663" w:rsidP="00F01663">
      <w:pPr>
        <w:pStyle w:val="Heading1"/>
      </w:pPr>
      <w:bookmarkStart w:id="1" w:name="O_928262"/>
      <w:bookmarkEnd w:id="1"/>
      <w:r w:rsidRPr="00F01663">
        <w:t>Modification History</w:t>
      </w:r>
    </w:p>
    <w:p w:rsidR="00000000" w:rsidRPr="00F01663" w:rsidP="00F01663">
      <w:pPr>
        <w:pStyle w:val="BodyText"/>
      </w:pPr>
      <w:r w:rsidRPr="00F01663">
        <w:t>Release 1. Supersedes and is equivalent to PMC552023C Finish products after firing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2" w:name="O_928270"/>
      <w:bookmarkEnd w:id="2"/>
      <w:r w:rsidRPr="00F01663">
        <w:t>Application</w:t>
      </w:r>
    </w:p>
    <w:p w:rsidR="00000000" w:rsidRPr="00F01663" w:rsidP="00F01663">
      <w:pPr>
        <w:pStyle w:val="BodyText"/>
      </w:pPr>
      <w:r w:rsidRPr="00F01663">
        <w:t>This unit of competency covers the skills and knowledge required to finish clay and ceramic products after firing to prepar</w:t>
      </w:r>
      <w:r w:rsidRPr="00F01663">
        <w:t>e them for further processing or packaging. It applies to large production contexts and smaller craft contexts.</w:t>
      </w:r>
    </w:p>
    <w:p w:rsidR="00000000" w:rsidRPr="00F01663" w:rsidP="00F01663">
      <w:pPr>
        <w:pStyle w:val="BodyText"/>
      </w:pPr>
    </w:p>
    <w:p w:rsidR="00000000" w:rsidRPr="00F01663" w:rsidP="00F01663">
      <w:pPr>
        <w:pStyle w:val="BodyText"/>
      </w:pPr>
      <w:r w:rsidRPr="00F01663">
        <w:t>This unit of competency applies to operators who are required to inspect, finish and repair products to meet specifications and rectify routine</w:t>
      </w:r>
      <w:r w:rsidRPr="00F01663">
        <w:t xml:space="preserve"> problems. </w:t>
      </w:r>
    </w:p>
    <w:p w:rsidR="00000000" w:rsidRPr="00F01663" w:rsidP="00F01663">
      <w:pPr>
        <w:pStyle w:val="BodyText"/>
      </w:pPr>
    </w:p>
    <w:p w:rsidR="00000000" w:rsidRPr="00F01663" w:rsidP="00F01663">
      <w:pPr>
        <w:pStyle w:val="BodyText"/>
      </w:pPr>
      <w:r w:rsidRPr="00F01663">
        <w:t xml:space="preserve">This unit of competency does not apply to forming, firing or packaging of products. </w:t>
      </w:r>
    </w:p>
    <w:p w:rsidR="00000000" w:rsidRPr="00F01663" w:rsidP="00F01663">
      <w:pPr>
        <w:pStyle w:val="BodyText"/>
      </w:pPr>
    </w:p>
    <w:p w:rsidR="00000000" w:rsidRPr="00F01663" w:rsidP="00F01663">
      <w:pPr>
        <w:pStyle w:val="BodyText"/>
      </w:pPr>
      <w:r w:rsidRPr="00F01663">
        <w:t>This unit of competency applies to an individual working alone or as part of a team or group and working in liaison with other shift team members, team leade</w:t>
      </w:r>
      <w:r w:rsidRPr="00F01663">
        <w:t>r and supervisor, as appropriate.</w:t>
      </w:r>
    </w:p>
    <w:p w:rsidR="00000000" w:rsidRPr="00F01663" w:rsidP="00F01663">
      <w:pPr>
        <w:pStyle w:val="BodyText"/>
      </w:pPr>
    </w:p>
    <w:p w:rsidR="00000000" w:rsidRPr="00F01663" w:rsidP="00F01663">
      <w:pPr>
        <w:pStyle w:val="BodyText"/>
      </w:pPr>
      <w:r w:rsidRPr="00F01663">
        <w:t>No licensing, legislative or certification requirements apply to this unit at the time of publication.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3" w:name="O_928269"/>
      <w:bookmarkEnd w:id="3"/>
      <w:r w:rsidRPr="00F01663">
        <w:t>Pre-requisite Unit</w:t>
      </w:r>
    </w:p>
    <w:p w:rsidR="00000000" w:rsidRPr="00F01663" w:rsidP="00F01663">
      <w:pPr>
        <w:pStyle w:val="BodyText"/>
      </w:pPr>
      <w:r w:rsidRPr="00F01663">
        <w:t>Nil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4" w:name="O_928268"/>
      <w:bookmarkEnd w:id="4"/>
      <w:r w:rsidRPr="00F01663">
        <w:t>Competency Field</w:t>
      </w:r>
    </w:p>
    <w:p w:rsidR="00000000" w:rsidRPr="00F01663" w:rsidP="00F01663">
      <w:pPr>
        <w:pStyle w:val="BodyText"/>
      </w:pPr>
      <w:r w:rsidRPr="00F01663">
        <w:t xml:space="preserve">Operations 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5" w:name="O_928267"/>
      <w:bookmarkEnd w:id="5"/>
      <w:r w:rsidRPr="00F01663">
        <w:t>Unit Sector</w:t>
      </w:r>
    </w:p>
    <w:p w:rsidR="00000000" w:rsidRPr="00F01663" w:rsidP="00F01663">
      <w:pPr>
        <w:pStyle w:val="BodyText"/>
      </w:pPr>
      <w:r w:rsidRPr="00F01663">
        <w:t>Not</w:t>
      </w:r>
      <w:r w:rsidRPr="00F01663">
        <w:t xml:space="preserve"> applicable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6" w:name="O_928266"/>
      <w:bookmarkEnd w:id="6"/>
      <w:r w:rsidRPr="00F016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Performance criteria describe the performance needed to demonstrate achievement of the element.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Inspect and sort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Grade products to ensure enterprise standards are met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Mark items with code to indicate grade/batch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Finish and assemble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Apply finishing techniques to produce a properly finished product, as required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Assemble products to specification, as required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Maintain appropriate records and log books of equipment operations to meet procedures/work instructions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Identify the range of faults that can occur during the operation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Determine and rectify fault causes in accordance with procedures/work instructions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Identify and rectify equipment failure causes in accordance with procedures/work instructions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Identify non-routine problems and report to designated person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Identify hazards from the job to be done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Identify other hazards in the work area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Assess the risks arising from those hazards</w:t>
            </w:r>
          </w:p>
        </w:tc>
      </w:tr>
      <w:tr w:rsidTr="00F01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Implement measures to control those risks in line with procedures</w:t>
            </w:r>
          </w:p>
        </w:tc>
      </w:tr>
    </w:tbl>
    <w:p w:rsidR="00000000" w:rsidRPr="00F01663" w:rsidP="00F01663">
      <w:pPr>
        <w:pStyle w:val="BodyText"/>
      </w:pP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7" w:name="O_928265"/>
      <w:bookmarkEnd w:id="7"/>
      <w:r w:rsidRPr="00F01663">
        <w:t>Foundation Skills</w:t>
      </w:r>
    </w:p>
    <w:p w:rsidR="00000000" w:rsidRPr="00F01663" w:rsidP="00F01663">
      <w:pPr>
        <w:pStyle w:val="BodyText"/>
      </w:pPr>
      <w:r w:rsidRPr="00F01663">
        <w:t>This section describes those required skills (language, literacy and numeracy) that are essential to performance.</w:t>
      </w:r>
    </w:p>
    <w:p w:rsidR="00000000" w:rsidRPr="00F01663" w:rsidP="00F01663">
      <w:pPr>
        <w:pStyle w:val="BodyText"/>
      </w:pPr>
    </w:p>
    <w:p w:rsidR="00000000" w:rsidRPr="00F01663" w:rsidP="00F01663">
      <w:pPr>
        <w:pStyle w:val="BodyText"/>
      </w:pPr>
      <w:r w:rsidRPr="00F01663">
        <w:t>Foundation skills essential to perform</w:t>
      </w:r>
      <w:r w:rsidRPr="00F01663">
        <w:t>ance are explicit in the performance criteria of this unit of competency.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8" w:name="O_928264"/>
      <w:bookmarkEnd w:id="8"/>
      <w:r w:rsidRPr="00F0166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F2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t xml:space="preserve">This field allows for different work environments and conditions that may affect performance. Essential operating conditions that may be present </w:t>
            </w:r>
            <w:r w:rsidRPr="00F01663">
              <w:t>(depending on the work situation, needs of the candidate, accessibility of the item, and local industry and regional contexts) are included.</w:t>
            </w:r>
          </w:p>
        </w:tc>
      </w:tr>
      <w:tr w:rsidTr="004F2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rPr>
                <w:rStyle w:val="SpecialBold"/>
              </w:rPr>
              <w:t>Regulatory framework</w:t>
            </w:r>
            <w:r w:rsidRPr="00F01663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>Applicable legislation, regulations, standards and codes of pr</w:t>
            </w:r>
            <w:r w:rsidRPr="00F01663">
              <w:t>actice include:</w:t>
            </w:r>
          </w:p>
          <w:p w:rsidR="00000000" w:rsidRPr="00F01663" w:rsidP="00F01663">
            <w:pPr>
              <w:pStyle w:val="ListBullet"/>
            </w:pPr>
            <w:r w:rsidRPr="00F01663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01663" w:rsidP="00F01663">
            <w:pPr>
              <w:pStyle w:val="ListBullet"/>
            </w:pPr>
            <w:r w:rsidRPr="00F01663">
              <w:t xml:space="preserve">Australian/international standards relevant to the materials being </w:t>
            </w:r>
            <w:r w:rsidRPr="00F01663">
              <w:t xml:space="preserve">used and products being made </w:t>
            </w:r>
          </w:p>
          <w:p w:rsidR="00000000" w:rsidRPr="00F01663" w:rsidP="00F01663">
            <w:pPr>
              <w:pStyle w:val="ListBullet"/>
            </w:pPr>
            <w:r w:rsidRPr="00F01663">
              <w:t>any relevant licence and certification requirements.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>All operations to which this unit applies are subject to stringent HSE requirements, which may be imposed through state/territory or federal legislation, and these must not</w:t>
            </w:r>
            <w:r w:rsidRPr="00F01663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F01663">
            <w:pPr>
              <w:pStyle w:val="BodyText"/>
              <w:rPr>
                <w:lang w:val="en-NZ"/>
              </w:rPr>
            </w:pPr>
          </w:p>
        </w:tc>
      </w:tr>
      <w:tr w:rsidTr="004F2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>All operations must be performed in accordance with relevant procedures.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>Procedures are written, verbal, visual, computer-based or in some other form, and include one or any combination of:</w:t>
            </w:r>
          </w:p>
          <w:p w:rsidR="00000000" w:rsidRPr="00F01663" w:rsidP="00F01663">
            <w:pPr>
              <w:pStyle w:val="ListBullet"/>
            </w:pPr>
            <w:r w:rsidRPr="00F01663">
              <w:t>job cards</w:t>
            </w:r>
          </w:p>
          <w:p w:rsidR="00000000" w:rsidRPr="00F01663" w:rsidP="00F01663">
            <w:pPr>
              <w:pStyle w:val="ListBullet"/>
            </w:pPr>
            <w:r w:rsidRPr="00F01663">
              <w:t>emergency procedures</w:t>
            </w:r>
          </w:p>
          <w:p w:rsidR="00000000" w:rsidRPr="00F01663" w:rsidP="00F01663">
            <w:pPr>
              <w:pStyle w:val="ListBullet"/>
            </w:pPr>
            <w:r w:rsidRPr="00F01663">
              <w:t>work instructions</w:t>
            </w:r>
          </w:p>
          <w:p w:rsidR="00000000" w:rsidRPr="00F01663" w:rsidP="00F01663">
            <w:pPr>
              <w:pStyle w:val="ListBullet"/>
            </w:pPr>
            <w:r w:rsidRPr="00F01663">
              <w:t>standard operating procedures (SOPs)</w:t>
            </w:r>
          </w:p>
          <w:p w:rsidR="00000000" w:rsidRPr="00F01663" w:rsidP="00F01663">
            <w:pPr>
              <w:pStyle w:val="ListBullet"/>
            </w:pPr>
            <w:r w:rsidRPr="00F01663">
              <w:t>safe work method statements (SWMS)</w:t>
            </w:r>
          </w:p>
          <w:p w:rsidR="00000000" w:rsidRPr="00F01663" w:rsidP="00F01663">
            <w:pPr>
              <w:pStyle w:val="ListBullet"/>
            </w:pPr>
            <w:r w:rsidRPr="00F01663">
              <w:t>formulas/recipes</w:t>
            </w:r>
          </w:p>
          <w:p w:rsidR="00000000" w:rsidRPr="00F01663" w:rsidP="00F01663">
            <w:pPr>
              <w:pStyle w:val="ListBullet"/>
            </w:pPr>
            <w:r w:rsidRPr="00F01663">
              <w:t>batch sheets</w:t>
            </w:r>
          </w:p>
          <w:p w:rsidR="00000000" w:rsidRPr="00F01663" w:rsidP="00F01663">
            <w:pPr>
              <w:pStyle w:val="ListBullet"/>
            </w:pPr>
            <w:r w:rsidRPr="00F01663">
              <w:t>temporary instructions</w:t>
            </w:r>
          </w:p>
          <w:p w:rsidR="00000000" w:rsidRPr="00F01663" w:rsidP="00F01663">
            <w:pPr>
              <w:pStyle w:val="ListBullet"/>
            </w:pPr>
            <w:r w:rsidRPr="00F01663">
              <w:t>any similar instructions provided for the smooth running of the plant.</w:t>
            </w:r>
          </w:p>
          <w:p w:rsidR="00000000" w:rsidP="00F01663">
            <w:pPr>
              <w:pStyle w:val="BodyText"/>
              <w:rPr>
                <w:lang w:val="en-NZ"/>
              </w:rPr>
            </w:pPr>
          </w:p>
        </w:tc>
      </w:tr>
      <w:tr w:rsidTr="004F23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63">
            <w:pPr>
              <w:pStyle w:val="BodyText"/>
              <w:rPr>
                <w:lang w:val="en-NZ"/>
              </w:rPr>
            </w:pPr>
            <w:r w:rsidRPr="00F01663">
              <w:rPr>
                <w:rStyle w:val="SpecialBold"/>
              </w:rPr>
              <w:t>Problems/known solutions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63" w:rsidP="00F01663">
            <w:pPr>
              <w:pStyle w:val="BodyText"/>
            </w:pPr>
            <w:r w:rsidRPr="00F01663">
              <w:t xml:space="preserve">Routine problems must be resolved by applying known solutions. 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>Routine problems/known solutions are predictable and include one or more of:</w:t>
            </w:r>
          </w:p>
          <w:p w:rsidR="00000000" w:rsidRPr="00F01663" w:rsidP="00F01663">
            <w:pPr>
              <w:pStyle w:val="ListBullet"/>
            </w:pPr>
            <w:r w:rsidRPr="00F01663">
              <w:t>determination of surface quality within specification</w:t>
            </w:r>
          </w:p>
          <w:p w:rsidR="00000000" w:rsidRPr="00F01663" w:rsidP="00F01663">
            <w:pPr>
              <w:pStyle w:val="ListBullet"/>
            </w:pPr>
            <w:r w:rsidRPr="00F01663">
              <w:t>colour, shape, structure and surface finish faults</w:t>
            </w:r>
          </w:p>
          <w:p w:rsidR="00000000" w:rsidRPr="00F01663" w:rsidP="00F01663">
            <w:pPr>
              <w:pStyle w:val="ListBullet"/>
            </w:pPr>
            <w:r w:rsidRPr="00F01663">
              <w:t>repairing or scrapping of damaged parts.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 xml:space="preserve">Known solutions are drawn from </w:t>
            </w:r>
            <w:r w:rsidRPr="00F01663">
              <w:t>one or more of:</w:t>
            </w:r>
          </w:p>
          <w:p w:rsidR="00000000" w:rsidRPr="00F01663" w:rsidP="00F01663">
            <w:pPr>
              <w:pStyle w:val="ListBullet"/>
            </w:pPr>
            <w:r w:rsidRPr="00F01663">
              <w:t>procedures</w:t>
            </w:r>
          </w:p>
          <w:p w:rsidR="00000000" w:rsidRPr="00F01663" w:rsidP="00F01663">
            <w:pPr>
              <w:pStyle w:val="ListBullet"/>
            </w:pPr>
            <w:r w:rsidRPr="00F01663">
              <w:t>training</w:t>
            </w:r>
          </w:p>
          <w:p w:rsidR="00000000" w:rsidRPr="00F01663" w:rsidP="00F01663">
            <w:pPr>
              <w:pStyle w:val="ListBullet"/>
            </w:pPr>
            <w:r w:rsidRPr="00F01663">
              <w:t>remembered experience.</w:t>
            </w:r>
          </w:p>
          <w:p w:rsidR="00000000" w:rsidRPr="00F01663" w:rsidP="00F01663">
            <w:pPr>
              <w:pStyle w:val="BodyText"/>
            </w:pPr>
          </w:p>
          <w:p w:rsidR="00000000" w:rsidRPr="00F01663" w:rsidP="00F01663">
            <w:pPr>
              <w:pStyle w:val="BodyText"/>
            </w:pPr>
            <w:r w:rsidRPr="00F01663">
              <w:t>Non-routine problems must be reported according to according to relevant procedures.</w:t>
            </w:r>
          </w:p>
        </w:tc>
      </w:tr>
    </w:tbl>
    <w:p w:rsidR="00000000" w:rsidRPr="00F01663" w:rsidP="00F01663">
      <w:pPr>
        <w:pStyle w:val="BodyText"/>
      </w:pP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9" w:name="O_928263"/>
      <w:bookmarkEnd w:id="9"/>
      <w:r w:rsidRPr="00F01663">
        <w:t>Unit Mapping Information</w:t>
      </w:r>
    </w:p>
    <w:p w:rsidR="00000000" w:rsidRPr="00F01663" w:rsidP="00F01663">
      <w:pPr>
        <w:pStyle w:val="BodyText"/>
      </w:pPr>
      <w:r w:rsidRPr="00F01663">
        <w:t>Release 1. Supersedes and is equivalent to PMC552023C Finish products after firing</w:t>
      </w:r>
    </w:p>
    <w:p w:rsidR="00000000" w:rsidRPr="00F01663" w:rsidP="00F01663">
      <w:pPr>
        <w:pStyle w:val="AllowPageBreak"/>
      </w:pPr>
    </w:p>
    <w:p w:rsidR="00000000" w:rsidRPr="00F01663" w:rsidP="00F01663">
      <w:pPr>
        <w:pStyle w:val="Heading1"/>
      </w:pPr>
      <w:bookmarkStart w:id="10" w:name="O_928256"/>
      <w:bookmarkEnd w:id="10"/>
      <w:r w:rsidRPr="00F01663">
        <w:t>Links</w:t>
      </w:r>
    </w:p>
    <w:p w:rsidR="00000000" w:rsidRPr="00F01663" w:rsidP="00F01663">
      <w:pPr>
        <w:pStyle w:val="BodyText"/>
      </w:pPr>
      <w:r w:rsidRPr="00F01663">
        <w:t>MSA Training Package Implementation Guides - http://mskills.org.au/training-packages/info/</w:t>
      </w:r>
    </w:p>
    <w:p w:rsidR="00000000" w:rsidRPr="00F01663" w:rsidP="00F01663"/>
    <w:sectPr w:rsidSect="00F01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 w:rsidRPr="004F2333" w:rsidP="004F2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33" w:rsidP="00F01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333" w:rsidP="00F01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F2333" w:rsidP="00F01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 w:rsidRPr="004F2333" w:rsidP="004F23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33" w:rsidRPr="002D2AF8" w:rsidP="00F01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PMC552023 Finish products after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F2333" w:rsidP="00F01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8B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8A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663"/>
  </w:style>
  <w:style w:type="character" w:customStyle="1" w:styleId="Heading1Char">
    <w:name w:val="Heading 1 Char"/>
    <w:basedOn w:val="DefaultParagraphFont"/>
    <w:link w:val="Heading1"/>
    <w:rsid w:val="00F01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6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663"/>
    <w:rPr>
      <w:b/>
      <w:spacing w:val="0"/>
    </w:rPr>
  </w:style>
  <w:style w:type="paragraph" w:customStyle="1" w:styleId="SuperHeading">
    <w:name w:val="SuperHeading"/>
    <w:basedOn w:val="Normal"/>
    <w:rsid w:val="00F01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6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663"/>
    <w:rPr>
      <w:i/>
    </w:rPr>
  </w:style>
  <w:style w:type="paragraph" w:styleId="Caption">
    <w:name w:val="caption"/>
    <w:basedOn w:val="BodyText"/>
    <w:next w:val="Normal"/>
    <w:qFormat/>
    <w:rsid w:val="00F01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663"/>
  </w:style>
  <w:style w:type="paragraph" w:styleId="TableofFigures">
    <w:name w:val="table of figures"/>
    <w:basedOn w:val="Normal"/>
    <w:next w:val="Normal"/>
    <w:semiHidden/>
    <w:rsid w:val="00F01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663"/>
    <w:pPr>
      <w:numPr>
        <w:numId w:val="10"/>
      </w:numPr>
    </w:pPr>
  </w:style>
  <w:style w:type="character" w:customStyle="1" w:styleId="WingdingSymbols">
    <w:name w:val="Wingding Symbols"/>
    <w:rsid w:val="00F01663"/>
    <w:rPr>
      <w:rFonts w:ascii="Wingdings" w:hAnsi="Wingdings"/>
    </w:rPr>
  </w:style>
  <w:style w:type="paragraph" w:customStyle="1" w:styleId="TableHeading">
    <w:name w:val="Table Heading"/>
    <w:basedOn w:val="HeadingBase"/>
    <w:rsid w:val="00F01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663"/>
    <w:rPr>
      <w:color w:val="0033CC"/>
      <w:u w:val="none"/>
    </w:rPr>
  </w:style>
  <w:style w:type="paragraph" w:customStyle="1" w:styleId="BodyTextRight">
    <w:name w:val="Body Text Right"/>
    <w:basedOn w:val="BodyText"/>
    <w:rsid w:val="00F01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663"/>
    <w:rPr>
      <w:sz w:val="32"/>
    </w:rPr>
  </w:style>
  <w:style w:type="paragraph" w:customStyle="1" w:styleId="HeadingProcedure">
    <w:name w:val="Heading Procedure"/>
    <w:basedOn w:val="HeadingBase"/>
    <w:next w:val="Normal"/>
    <w:rsid w:val="00F01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663"/>
    <w:pPr>
      <w:spacing w:before="60" w:after="60"/>
    </w:pPr>
  </w:style>
  <w:style w:type="paragraph" w:styleId="ListContinue">
    <w:name w:val="List Continue"/>
    <w:basedOn w:val="List"/>
    <w:rsid w:val="00F01663"/>
    <w:pPr>
      <w:ind w:firstLine="0"/>
    </w:pPr>
  </w:style>
  <w:style w:type="paragraph" w:customStyle="1" w:styleId="ListNote">
    <w:name w:val="List Note"/>
    <w:basedOn w:val="List"/>
    <w:rsid w:val="00F01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663"/>
    <w:rPr>
      <w:rFonts w:ascii="Courier New" w:hAnsi="Courier New"/>
    </w:rPr>
  </w:style>
  <w:style w:type="paragraph" w:customStyle="1" w:styleId="NoteBullet">
    <w:name w:val="Note Bullet"/>
    <w:basedOn w:val="Note"/>
    <w:rsid w:val="00F01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663"/>
    <w:rPr>
      <w:b/>
      <w:smallCaps/>
    </w:rPr>
  </w:style>
  <w:style w:type="paragraph" w:customStyle="1" w:styleId="TableListNumber">
    <w:name w:val="Table List Number"/>
    <w:basedOn w:val="ListNumber"/>
    <w:rsid w:val="00F01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663"/>
    <w:pPr>
      <w:numPr>
        <w:numId w:val="8"/>
      </w:numPr>
    </w:pPr>
  </w:style>
  <w:style w:type="paragraph" w:customStyle="1" w:styleId="ListAlpha2">
    <w:name w:val="List Alpha 2"/>
    <w:basedOn w:val="List2"/>
    <w:rsid w:val="00F01663"/>
    <w:pPr>
      <w:numPr>
        <w:numId w:val="7"/>
      </w:numPr>
    </w:pPr>
  </w:style>
  <w:style w:type="paragraph" w:styleId="List2">
    <w:name w:val="List 2"/>
    <w:basedOn w:val="BodyText"/>
    <w:rsid w:val="00F01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6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663"/>
    <w:pPr>
      <w:numPr>
        <w:numId w:val="3"/>
      </w:numPr>
    </w:pPr>
  </w:style>
  <w:style w:type="paragraph" w:styleId="ListContinue2">
    <w:name w:val="List Continue 2"/>
    <w:basedOn w:val="List2"/>
    <w:rsid w:val="00F01663"/>
    <w:pPr>
      <w:ind w:firstLine="0"/>
    </w:pPr>
  </w:style>
  <w:style w:type="paragraph" w:styleId="ListContinue3">
    <w:name w:val="List Continue 3"/>
    <w:basedOn w:val="List3"/>
    <w:rsid w:val="00F01663"/>
    <w:pPr>
      <w:ind w:left="1021" w:firstLine="0"/>
    </w:pPr>
  </w:style>
  <w:style w:type="paragraph" w:styleId="ListContinue4">
    <w:name w:val="List Continue 4"/>
    <w:basedOn w:val="List4"/>
    <w:rsid w:val="00F01663"/>
    <w:pPr>
      <w:ind w:firstLine="0"/>
    </w:pPr>
  </w:style>
  <w:style w:type="paragraph" w:styleId="ListContinue5">
    <w:name w:val="List Continue 5"/>
    <w:basedOn w:val="List5"/>
    <w:rsid w:val="00F01663"/>
    <w:pPr>
      <w:ind w:firstLine="0"/>
    </w:pPr>
  </w:style>
  <w:style w:type="paragraph" w:styleId="ListNumber3">
    <w:name w:val="List Number 3"/>
    <w:basedOn w:val="List3"/>
    <w:rsid w:val="00F01663"/>
    <w:pPr>
      <w:numPr>
        <w:numId w:val="4"/>
      </w:numPr>
    </w:pPr>
  </w:style>
  <w:style w:type="paragraph" w:styleId="ListNumber4">
    <w:name w:val="List Number 4"/>
    <w:basedOn w:val="List4"/>
    <w:rsid w:val="00F01663"/>
    <w:pPr>
      <w:numPr>
        <w:numId w:val="5"/>
      </w:numPr>
    </w:pPr>
  </w:style>
  <w:style w:type="paragraph" w:styleId="ListNumber5">
    <w:name w:val="List Number 5"/>
    <w:basedOn w:val="List5"/>
    <w:rsid w:val="00F01663"/>
    <w:pPr>
      <w:numPr>
        <w:numId w:val="6"/>
      </w:numPr>
    </w:pPr>
  </w:style>
  <w:style w:type="paragraph" w:styleId="BlockText">
    <w:name w:val="Block Text"/>
    <w:basedOn w:val="Normal"/>
    <w:rsid w:val="00F01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663"/>
    <w:rPr>
      <w:sz w:val="16"/>
      <w:vertAlign w:val="superscript"/>
    </w:rPr>
  </w:style>
  <w:style w:type="character" w:customStyle="1" w:styleId="Symbols">
    <w:name w:val="Symbols"/>
    <w:basedOn w:val="DefaultParagraphFont"/>
    <w:rsid w:val="00F01663"/>
    <w:rPr>
      <w:rFonts w:ascii="Symbol" w:hAnsi="Symbol"/>
    </w:rPr>
  </w:style>
  <w:style w:type="character" w:customStyle="1" w:styleId="MenuOptions">
    <w:name w:val="Menu Options"/>
    <w:basedOn w:val="DefaultParagraphFont"/>
    <w:rsid w:val="00F01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663"/>
    <w:rPr>
      <w:b/>
    </w:rPr>
  </w:style>
  <w:style w:type="character" w:customStyle="1" w:styleId="Underlined">
    <w:name w:val="Underlined"/>
    <w:basedOn w:val="DefaultParagraphFont"/>
    <w:rsid w:val="00F01663"/>
    <w:rPr>
      <w:u w:val="single"/>
    </w:rPr>
  </w:style>
  <w:style w:type="paragraph" w:customStyle="1" w:styleId="TableBodyTextRight">
    <w:name w:val="Table Body Text Right"/>
    <w:basedOn w:val="TableBodyText"/>
    <w:rsid w:val="00F01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663"/>
    <w:rPr>
      <w:sz w:val="18"/>
    </w:rPr>
  </w:style>
  <w:style w:type="paragraph" w:customStyle="1" w:styleId="BodySmallRight">
    <w:name w:val="Body Small Right"/>
    <w:basedOn w:val="BodyTextRight"/>
    <w:rsid w:val="00F01663"/>
    <w:rPr>
      <w:sz w:val="18"/>
      <w:szCs w:val="18"/>
    </w:rPr>
  </w:style>
  <w:style w:type="paragraph" w:customStyle="1" w:styleId="MarginEdition">
    <w:name w:val="Margin Edition"/>
    <w:basedOn w:val="MarginNote"/>
    <w:rsid w:val="00F01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663"/>
    <w:rPr>
      <w:sz w:val="2"/>
      <w:szCs w:val="2"/>
    </w:rPr>
  </w:style>
  <w:style w:type="character" w:customStyle="1" w:styleId="Small">
    <w:name w:val="Small"/>
    <w:basedOn w:val="DefaultParagraphFont"/>
    <w:rsid w:val="00F01663"/>
    <w:rPr>
      <w:sz w:val="16"/>
    </w:rPr>
  </w:style>
  <w:style w:type="paragraph" w:customStyle="1" w:styleId="WideTable">
    <w:name w:val="Wide Table"/>
    <w:basedOn w:val="Normal"/>
    <w:rsid w:val="00F01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663"/>
  </w:style>
  <w:style w:type="paragraph" w:styleId="Quote">
    <w:name w:val="Quote"/>
    <w:basedOn w:val="Heading1"/>
    <w:link w:val="QuoteChar"/>
    <w:qFormat/>
    <w:rsid w:val="00F01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663"/>
    <w:pPr>
      <w:pageBreakBefore/>
    </w:pPr>
  </w:style>
  <w:style w:type="paragraph" w:customStyle="1" w:styleId="Border">
    <w:name w:val="Border"/>
    <w:basedOn w:val="Normal"/>
    <w:qFormat/>
    <w:rsid w:val="00F01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663"/>
    <w:rPr>
      <w:u w:val="single"/>
    </w:rPr>
  </w:style>
  <w:style w:type="character" w:customStyle="1" w:styleId="BoldandItalics">
    <w:name w:val="Bold and Italics"/>
    <w:qFormat/>
    <w:rsid w:val="00F01663"/>
    <w:rPr>
      <w:b/>
      <w:i/>
      <w:u w:val="none"/>
    </w:rPr>
  </w:style>
  <w:style w:type="paragraph" w:styleId="BalloonText">
    <w:name w:val="Balloon Text"/>
    <w:basedOn w:val="Normal"/>
    <w:link w:val="BalloonTextChar"/>
    <w:rsid w:val="00F01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6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6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4179</Characters>
  <Application>Microsoft Office Word</Application>
  <DocSecurity>0</DocSecurity>
  <Lines>178</Lines>
  <Paragraphs>93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PMC552023 Finish products after firing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2016-06-22T09:02:00Z</dcterms:created>
  <dcterms:modified xsi:type="dcterms:W3CDTF">2016-06-22T09:02:00Z</dcterms:modified>
</cp:coreProperties>
</file>