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0688" w:rsidP="00F30688">
      <w:pPr>
        <w:pStyle w:val="Title"/>
      </w:pPr>
      <w:r>
        <w:fldChar w:fldCharType="begin"/>
      </w:r>
      <w:r>
        <w:instrText xml:space="preserve"> TITLE   \* MERGEFORMAT </w:instrText>
      </w:r>
      <w:r>
        <w:fldChar w:fldCharType="separate"/>
      </w:r>
      <w:r>
        <w:t>PMC552005 Process greenware/green products</w:t>
      </w:r>
      <w:r>
        <w:fldChar w:fldCharType="end"/>
      </w:r>
    </w:p>
    <w:p w:rsidR="00F30688" w:rsidP="00F30688">
      <w:pPr>
        <w:pStyle w:val="Version"/>
        <w:sectPr w:rsidSect="00C55F1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5F14" w:rsidP="00C55F14">
      <w:pPr>
        <w:pStyle w:val="SuperHeading"/>
      </w:pPr>
      <w:r w:rsidRPr="00C55F14">
        <w:t>PMC552005 Process greenware/green products</w:t>
      </w:r>
    </w:p>
    <w:p w:rsidR="00000000" w:rsidRPr="00C55F14" w:rsidP="00C55F14">
      <w:pPr>
        <w:pStyle w:val="Heading1"/>
      </w:pPr>
      <w:bookmarkStart w:id="1" w:name="O_928110"/>
      <w:bookmarkEnd w:id="1"/>
      <w:r w:rsidRPr="00C55F14">
        <w:t>Modification History</w:t>
      </w:r>
    </w:p>
    <w:p w:rsidR="00000000" w:rsidRPr="00C55F14" w:rsidP="00C55F14">
      <w:pPr>
        <w:pStyle w:val="BodyText"/>
      </w:pPr>
      <w:r w:rsidRPr="00C55F14">
        <w:t xml:space="preserve">Release 1. Supersedes and is equivalent to PMC552005C Process greenware/green products. </w:t>
      </w:r>
    </w:p>
    <w:p w:rsidR="00000000" w:rsidRPr="00C55F14" w:rsidP="00C55F14">
      <w:pPr>
        <w:pStyle w:val="AllowPageBreak"/>
      </w:pPr>
    </w:p>
    <w:p w:rsidR="00000000" w:rsidRPr="00C55F14" w:rsidP="00C55F14">
      <w:pPr>
        <w:pStyle w:val="Heading1"/>
      </w:pPr>
      <w:bookmarkStart w:id="2" w:name="O_928118"/>
      <w:bookmarkEnd w:id="2"/>
      <w:r w:rsidRPr="00C55F14">
        <w:t>Application</w:t>
      </w:r>
    </w:p>
    <w:p w:rsidR="00000000" w:rsidRPr="00C55F14" w:rsidP="00C55F14">
      <w:pPr>
        <w:pStyle w:val="BodyText"/>
      </w:pPr>
      <w:r w:rsidRPr="00C55F14">
        <w:t xml:space="preserve">This unit of competency covers the skills and knowledge required to prepare and process greenware/green products. It </w:t>
      </w:r>
      <w:r w:rsidRPr="00C55F14">
        <w:t xml:space="preserve">applies to greenware/green products such as: </w:t>
      </w:r>
    </w:p>
    <w:p w:rsidR="00000000" w:rsidRPr="00C55F14" w:rsidP="00C55F14">
      <w:pPr>
        <w:pStyle w:val="ListBullet"/>
      </w:pPr>
      <w:r w:rsidRPr="00C55F14">
        <w:t>clay and ceramics products prior to firing</w:t>
      </w:r>
    </w:p>
    <w:p w:rsidR="00000000" w:rsidRPr="00C55F14" w:rsidP="00C55F14">
      <w:pPr>
        <w:pStyle w:val="ListBullet"/>
      </w:pPr>
      <w:r w:rsidRPr="00C55F14">
        <w:t>fibre reinforced cement products prior to autoclaving</w:t>
      </w:r>
    </w:p>
    <w:p w:rsidR="00000000" w:rsidRPr="00C55F14" w:rsidP="00C55F14">
      <w:pPr>
        <w:pStyle w:val="ListBullet"/>
      </w:pPr>
      <w:r w:rsidRPr="00C55F14">
        <w:t>concrete products, such as masonry curing.</w:t>
      </w:r>
    </w:p>
    <w:p w:rsidR="00000000" w:rsidRPr="00C55F14" w:rsidP="00C55F14">
      <w:pPr>
        <w:pStyle w:val="BodyText"/>
      </w:pPr>
    </w:p>
    <w:p w:rsidR="00000000" w:rsidRPr="00C55F14" w:rsidP="00C55F14">
      <w:pPr>
        <w:pStyle w:val="BodyText"/>
      </w:pPr>
      <w:r w:rsidRPr="00C55F14">
        <w:t>This unit of competency applies to operators who are required to pre</w:t>
      </w:r>
      <w:r w:rsidRPr="00C55F14">
        <w:t xml:space="preserve">pare the equipment, stack, dry/cure and finish the green products, control and/or report hazards and rectify routine problems.  </w:t>
      </w:r>
    </w:p>
    <w:p w:rsidR="00000000" w:rsidRPr="00C55F14" w:rsidP="00C55F14">
      <w:pPr>
        <w:pStyle w:val="BodyText"/>
      </w:pPr>
    </w:p>
    <w:p w:rsidR="00000000" w:rsidRPr="00C55F14" w:rsidP="00C55F14">
      <w:pPr>
        <w:pStyle w:val="BodyText"/>
      </w:pPr>
      <w:r w:rsidRPr="00C55F14">
        <w:t>This unit of competency applies to an individual working alone or as part of a team or group and working in liaison with other</w:t>
      </w:r>
      <w:r w:rsidRPr="00C55F14">
        <w:t xml:space="preserve"> shift team members, team leader and supervisor, as appropriate.</w:t>
      </w:r>
    </w:p>
    <w:p w:rsidR="00000000" w:rsidRPr="00C55F14" w:rsidP="00C55F14">
      <w:pPr>
        <w:pStyle w:val="BodyText"/>
      </w:pPr>
    </w:p>
    <w:p w:rsidR="00000000" w:rsidRPr="00C55F14" w:rsidP="00C55F14">
      <w:pPr>
        <w:pStyle w:val="BodyText"/>
      </w:pPr>
      <w:r w:rsidRPr="00C55F14">
        <w:t>This competency does not apply to the firing of products in a kiln or similar firing equipment.</w:t>
      </w:r>
    </w:p>
    <w:p w:rsidR="00000000" w:rsidRPr="00C55F14" w:rsidP="00C55F14">
      <w:pPr>
        <w:pStyle w:val="BodyText"/>
      </w:pPr>
    </w:p>
    <w:p w:rsidR="00000000" w:rsidRPr="00C55F14" w:rsidP="00C55F14">
      <w:pPr>
        <w:pStyle w:val="BodyText"/>
      </w:pPr>
      <w:r w:rsidRPr="00C55F14">
        <w:t>No licensing, legislative or certification requirements apply to this unit at the time of pub</w:t>
      </w:r>
      <w:r w:rsidRPr="00C55F14">
        <w:t>lication.</w:t>
      </w:r>
    </w:p>
    <w:p w:rsidR="00000000" w:rsidRPr="00C55F14" w:rsidP="00C55F14">
      <w:pPr>
        <w:pStyle w:val="AllowPageBreak"/>
      </w:pPr>
    </w:p>
    <w:p w:rsidR="00000000" w:rsidRPr="00C55F14" w:rsidP="00C55F14">
      <w:pPr>
        <w:pStyle w:val="Heading1"/>
      </w:pPr>
      <w:bookmarkStart w:id="3" w:name="O_928117"/>
      <w:bookmarkEnd w:id="3"/>
      <w:r w:rsidRPr="00C55F14">
        <w:t>Pre-requisite Unit</w:t>
      </w:r>
    </w:p>
    <w:p w:rsidR="00000000" w:rsidRPr="00C55F14" w:rsidP="00C55F14">
      <w:pPr>
        <w:pStyle w:val="BodyText"/>
      </w:pPr>
      <w:r w:rsidRPr="00C55F14">
        <w:t>Nil</w:t>
      </w:r>
    </w:p>
    <w:p w:rsidR="00000000" w:rsidRPr="00C55F14" w:rsidP="00C55F14">
      <w:pPr>
        <w:pStyle w:val="AllowPageBreak"/>
      </w:pPr>
    </w:p>
    <w:p w:rsidR="00000000" w:rsidRPr="00C55F14" w:rsidP="00C55F14">
      <w:pPr>
        <w:pStyle w:val="Heading1"/>
      </w:pPr>
      <w:bookmarkStart w:id="4" w:name="O_928116"/>
      <w:bookmarkEnd w:id="4"/>
      <w:r w:rsidRPr="00C55F14">
        <w:t>Competency Field</w:t>
      </w:r>
    </w:p>
    <w:p w:rsidR="00000000" w:rsidRPr="00C55F14" w:rsidP="00C55F14">
      <w:pPr>
        <w:pStyle w:val="BodyText"/>
      </w:pPr>
      <w:r w:rsidRPr="00C55F14">
        <w:t>Operations</w:t>
      </w:r>
    </w:p>
    <w:p w:rsidR="00000000" w:rsidRPr="00C55F14" w:rsidP="00C55F14">
      <w:pPr>
        <w:pStyle w:val="AllowPageBreak"/>
      </w:pPr>
    </w:p>
    <w:p w:rsidR="00000000" w:rsidRPr="00C55F14" w:rsidP="00C55F14">
      <w:pPr>
        <w:pStyle w:val="Heading1"/>
      </w:pPr>
      <w:bookmarkStart w:id="5" w:name="O_928115"/>
      <w:bookmarkEnd w:id="5"/>
      <w:r w:rsidRPr="00C55F14">
        <w:t>Unit Sector</w:t>
      </w:r>
    </w:p>
    <w:p w:rsidR="00000000" w:rsidRPr="00C55F14" w:rsidP="00C55F14">
      <w:pPr>
        <w:pStyle w:val="BodyText"/>
      </w:pPr>
      <w:r w:rsidRPr="00C55F14">
        <w:t>Not applicable</w:t>
      </w:r>
    </w:p>
    <w:p w:rsidR="00000000" w:rsidRPr="00C55F14" w:rsidP="00C55F14">
      <w:pPr>
        <w:pStyle w:val="AllowPageBreak"/>
      </w:pPr>
    </w:p>
    <w:p w:rsidR="00000000" w:rsidRPr="00C55F14" w:rsidP="00C55F14">
      <w:pPr>
        <w:pStyle w:val="Heading1"/>
      </w:pPr>
      <w:bookmarkStart w:id="6" w:name="O_928114"/>
      <w:bookmarkEnd w:id="6"/>
      <w:r w:rsidRPr="00C55F1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55F1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55F14">
            <w:pPr>
              <w:pStyle w:val="BodyText"/>
              <w:rPr>
                <w:lang w:val="en-NZ"/>
              </w:rPr>
            </w:pPr>
            <w:r w:rsidRPr="00C55F1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55F14">
            <w:pPr>
              <w:pStyle w:val="BodyText"/>
              <w:rPr>
                <w:lang w:val="en-NZ"/>
              </w:rPr>
            </w:pPr>
            <w:r w:rsidRPr="00C55F14">
              <w:t>Performance criteria describe the performance needed to demonstrate achievement of the element.</w:t>
            </w:r>
          </w:p>
        </w:tc>
      </w:tr>
      <w:tr w:rsidTr="00C55F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55F14" w:rsidP="00C55F14">
            <w:pPr>
              <w:pStyle w:val="BodyText"/>
            </w:pPr>
            <w:r w:rsidRPr="00C55F14">
              <w:t>1</w:t>
            </w:r>
          </w:p>
        </w:tc>
        <w:tc>
          <w:tcPr>
            <w:tcW w:w="1962" w:type="dxa"/>
            <w:vMerge w:val="restart"/>
            <w:tcBorders>
              <w:top w:val="nil"/>
              <w:left w:val="nil"/>
              <w:bottom w:val="nil"/>
              <w:right w:val="nil"/>
            </w:tcBorders>
            <w:tcMar>
              <w:top w:w="0" w:type="dxa"/>
              <w:left w:w="62" w:type="dxa"/>
              <w:bottom w:w="0" w:type="dxa"/>
              <w:right w:w="62" w:type="dxa"/>
            </w:tcMar>
          </w:tcPr>
          <w:p w:rsidR="00000000" w:rsidP="00C55F14">
            <w:pPr>
              <w:pStyle w:val="BodyText"/>
              <w:rPr>
                <w:lang w:val="en-NZ"/>
              </w:rPr>
            </w:pPr>
            <w:r w:rsidRPr="00C55F14">
              <w:rPr>
                <w:rStyle w:val="SpecialBold"/>
              </w:rPr>
              <w:t>Prepare the equipment</w:t>
            </w:r>
          </w:p>
        </w:tc>
        <w:tc>
          <w:tcPr>
            <w:tcW w:w="770" w:type="dxa"/>
            <w:tcBorders>
              <w:top w:val="nil"/>
              <w:left w:val="nil"/>
              <w:bottom w:val="nil"/>
              <w:right w:val="nil"/>
            </w:tcBorders>
            <w:tcMar>
              <w:top w:w="0" w:type="dxa"/>
              <w:left w:w="62" w:type="dxa"/>
              <w:bottom w:w="0" w:type="dxa"/>
              <w:right w:w="62" w:type="dxa"/>
            </w:tcMar>
          </w:tcPr>
          <w:p w:rsidR="00000000" w:rsidP="00C55F14">
            <w:pPr>
              <w:pStyle w:val="BodyText"/>
              <w:rPr>
                <w:lang w:val="en-NZ"/>
              </w:rPr>
            </w:pPr>
            <w:r w:rsidRPr="00C55F14">
              <w:t>1.1</w:t>
            </w:r>
          </w:p>
        </w:tc>
        <w:tc>
          <w:tcPr>
            <w:tcW w:w="5610" w:type="dxa"/>
            <w:tcBorders>
              <w:top w:val="nil"/>
              <w:left w:val="nil"/>
              <w:bottom w:val="nil"/>
              <w:right w:val="nil"/>
            </w:tcBorders>
            <w:tcMar>
              <w:top w:w="0" w:type="dxa"/>
              <w:left w:w="62" w:type="dxa"/>
              <w:bottom w:w="0" w:type="dxa"/>
              <w:right w:w="62" w:type="dxa"/>
            </w:tcMar>
          </w:tcPr>
          <w:p w:rsidR="00000000" w:rsidP="00C55F14">
            <w:pPr>
              <w:pStyle w:val="BodyText"/>
              <w:rPr>
                <w:lang w:val="en-NZ"/>
              </w:rPr>
            </w:pPr>
            <w:r w:rsidRPr="00C55F14">
              <w:t>Determine the requirements from the production program</w:t>
            </w:r>
          </w:p>
        </w:tc>
      </w:tr>
      <w:tr w:rsidTr="00C55F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55F14">
            <w:pPr>
              <w:pStyle w:val="BodyText"/>
              <w:rPr>
                <w:lang w:val="en-NZ"/>
              </w:rPr>
            </w:pPr>
            <w:r w:rsidRPr="00C55F14">
              <w:t>1.2</w:t>
            </w:r>
          </w:p>
        </w:tc>
        <w:tc>
          <w:tcPr>
            <w:tcW w:w="5610" w:type="dxa"/>
            <w:tcBorders>
              <w:top w:val="nil"/>
              <w:left w:val="nil"/>
              <w:bottom w:val="nil"/>
              <w:right w:val="nil"/>
            </w:tcBorders>
            <w:tcMar>
              <w:top w:w="0" w:type="dxa"/>
              <w:left w:w="62" w:type="dxa"/>
              <w:bottom w:w="0" w:type="dxa"/>
              <w:right w:w="62" w:type="dxa"/>
            </w:tcMar>
          </w:tcPr>
          <w:p w:rsidR="00000000" w:rsidP="00C55F14">
            <w:pPr>
              <w:pStyle w:val="BodyText"/>
              <w:rPr>
                <w:lang w:val="en-NZ"/>
              </w:rPr>
            </w:pPr>
            <w:r w:rsidRPr="00C55F14">
              <w:t>Identify and set up the racks, shelves or trolleys</w:t>
            </w:r>
          </w:p>
        </w:tc>
      </w:tr>
      <w:tr w:rsidTr="00C55F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55F14">
            <w:pPr>
              <w:pStyle w:val="BodyText"/>
              <w:rPr>
                <w:lang w:val="en-NZ"/>
              </w:rPr>
            </w:pPr>
            <w:r w:rsidRPr="00C55F14">
              <w:t>1.3</w:t>
            </w:r>
          </w:p>
        </w:tc>
        <w:tc>
          <w:tcPr>
            <w:tcW w:w="5610" w:type="dxa"/>
            <w:tcBorders>
              <w:top w:val="nil"/>
              <w:left w:val="nil"/>
              <w:bottom w:val="nil"/>
              <w:right w:val="nil"/>
            </w:tcBorders>
            <w:tcMar>
              <w:top w:w="0" w:type="dxa"/>
              <w:left w:w="62" w:type="dxa"/>
              <w:bottom w:w="0" w:type="dxa"/>
              <w:right w:w="62" w:type="dxa"/>
            </w:tcMar>
          </w:tcPr>
          <w:p w:rsidR="00000000" w:rsidP="00C55F14">
            <w:pPr>
              <w:pStyle w:val="BodyText"/>
              <w:rPr>
                <w:lang w:val="en-NZ"/>
              </w:rPr>
            </w:pPr>
            <w:r w:rsidRPr="00C55F14">
              <w:t>Ensure the equipment is safe for use</w:t>
            </w:r>
          </w:p>
        </w:tc>
      </w:tr>
      <w:tr w:rsidTr="00C55F1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55F14">
            <w:pPr>
              <w:pStyle w:val="BodyText"/>
              <w:rPr>
                <w:lang w:val="en-NZ"/>
              </w:rPr>
            </w:pPr>
          </w:p>
        </w:tc>
      </w:tr>
      <w:tr w:rsidTr="00C55F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55F14" w:rsidP="00C55F14">
            <w:pPr>
              <w:pStyle w:val="BodyText"/>
            </w:pPr>
            <w:r w:rsidRPr="00C55F14">
              <w:t>2</w:t>
            </w:r>
          </w:p>
        </w:tc>
        <w:tc>
          <w:tcPr>
            <w:tcW w:w="1962" w:type="dxa"/>
            <w:vMerge w:val="restart"/>
            <w:tcBorders>
              <w:top w:val="nil"/>
              <w:left w:val="nil"/>
              <w:bottom w:val="nil"/>
              <w:right w:val="nil"/>
            </w:tcBorders>
            <w:tcMar>
              <w:top w:w="0" w:type="dxa"/>
              <w:left w:w="62" w:type="dxa"/>
              <w:bottom w:w="0" w:type="dxa"/>
              <w:right w:w="62" w:type="dxa"/>
            </w:tcMar>
          </w:tcPr>
          <w:p w:rsidR="00000000" w:rsidP="00C55F14">
            <w:pPr>
              <w:pStyle w:val="BodyText"/>
              <w:rPr>
                <w:lang w:val="en-NZ"/>
              </w:rPr>
            </w:pPr>
            <w:r w:rsidRPr="00C55F14">
              <w:rPr>
                <w:rStyle w:val="SpecialBold"/>
              </w:rPr>
              <w:t>Control hazards</w:t>
            </w:r>
          </w:p>
        </w:tc>
        <w:tc>
          <w:tcPr>
            <w:tcW w:w="770" w:type="dxa"/>
            <w:tcBorders>
              <w:top w:val="nil"/>
              <w:left w:val="nil"/>
              <w:bottom w:val="nil"/>
              <w:right w:val="nil"/>
            </w:tcBorders>
            <w:tcMar>
              <w:top w:w="0" w:type="dxa"/>
              <w:left w:w="62" w:type="dxa"/>
              <w:bottom w:w="0" w:type="dxa"/>
              <w:right w:w="62" w:type="dxa"/>
            </w:tcMar>
          </w:tcPr>
          <w:p w:rsidR="00000000" w:rsidP="00C55F14">
            <w:pPr>
              <w:pStyle w:val="BodyText"/>
              <w:rPr>
                <w:lang w:val="en-NZ"/>
              </w:rPr>
            </w:pPr>
            <w:r w:rsidRPr="00C55F14">
              <w:t>2.1</w:t>
            </w:r>
          </w:p>
        </w:tc>
        <w:tc>
          <w:tcPr>
            <w:tcW w:w="5610" w:type="dxa"/>
            <w:tcBorders>
              <w:top w:val="nil"/>
              <w:left w:val="nil"/>
              <w:bottom w:val="nil"/>
              <w:right w:val="nil"/>
            </w:tcBorders>
            <w:tcMar>
              <w:top w:w="0" w:type="dxa"/>
              <w:left w:w="62" w:type="dxa"/>
              <w:bottom w:w="0" w:type="dxa"/>
              <w:right w:w="62" w:type="dxa"/>
            </w:tcMar>
          </w:tcPr>
          <w:p w:rsidR="00000000" w:rsidP="00C55F14">
            <w:pPr>
              <w:pStyle w:val="BodyText"/>
              <w:rPr>
                <w:lang w:val="en-NZ"/>
              </w:rPr>
            </w:pPr>
            <w:r w:rsidRPr="00C55F14">
              <w:t>Identify hazards from the job to be done</w:t>
            </w:r>
          </w:p>
        </w:tc>
      </w:tr>
      <w:tr w:rsidTr="00C55F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55F14">
            <w:pPr>
              <w:pStyle w:val="BodyText"/>
              <w:rPr>
                <w:lang w:val="en-NZ"/>
              </w:rPr>
            </w:pPr>
            <w:r w:rsidRPr="00C55F14">
              <w:t>2.2</w:t>
            </w:r>
          </w:p>
        </w:tc>
        <w:tc>
          <w:tcPr>
            <w:tcW w:w="5610" w:type="dxa"/>
            <w:tcBorders>
              <w:top w:val="nil"/>
              <w:left w:val="nil"/>
              <w:bottom w:val="nil"/>
              <w:right w:val="nil"/>
            </w:tcBorders>
            <w:tcMar>
              <w:top w:w="0" w:type="dxa"/>
              <w:left w:w="62" w:type="dxa"/>
              <w:bottom w:w="0" w:type="dxa"/>
              <w:right w:w="62" w:type="dxa"/>
            </w:tcMar>
          </w:tcPr>
          <w:p w:rsidR="00000000" w:rsidP="00C55F14">
            <w:pPr>
              <w:pStyle w:val="BodyText"/>
              <w:rPr>
                <w:lang w:val="en-NZ"/>
              </w:rPr>
            </w:pPr>
            <w:r w:rsidRPr="00C55F14">
              <w:t>Identify other hazards in the work area</w:t>
            </w:r>
          </w:p>
        </w:tc>
      </w:tr>
      <w:tr w:rsidTr="00C55F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55F14">
            <w:pPr>
              <w:pStyle w:val="BodyText"/>
              <w:rPr>
                <w:lang w:val="en-NZ"/>
              </w:rPr>
            </w:pPr>
            <w:r w:rsidRPr="00C55F14">
              <w:t>2.3</w:t>
            </w:r>
          </w:p>
        </w:tc>
        <w:tc>
          <w:tcPr>
            <w:tcW w:w="5610" w:type="dxa"/>
            <w:tcBorders>
              <w:top w:val="nil"/>
              <w:left w:val="nil"/>
              <w:bottom w:val="nil"/>
              <w:right w:val="nil"/>
            </w:tcBorders>
            <w:tcMar>
              <w:top w:w="0" w:type="dxa"/>
              <w:left w:w="62" w:type="dxa"/>
              <w:bottom w:w="0" w:type="dxa"/>
              <w:right w:w="62" w:type="dxa"/>
            </w:tcMar>
          </w:tcPr>
          <w:p w:rsidR="00000000" w:rsidP="00C55F14">
            <w:pPr>
              <w:pStyle w:val="BodyText"/>
              <w:rPr>
                <w:lang w:val="en-NZ"/>
              </w:rPr>
            </w:pPr>
            <w:r w:rsidRPr="00C55F14">
              <w:t>Assess the risks arising from those hazards</w:t>
            </w:r>
          </w:p>
        </w:tc>
      </w:tr>
      <w:tr w:rsidTr="00C55F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55F14">
            <w:pPr>
              <w:pStyle w:val="BodyText"/>
              <w:rPr>
                <w:lang w:val="en-NZ"/>
              </w:rPr>
            </w:pPr>
            <w:r w:rsidRPr="00C55F14">
              <w:t>2.4</w:t>
            </w:r>
          </w:p>
        </w:tc>
        <w:tc>
          <w:tcPr>
            <w:tcW w:w="5610" w:type="dxa"/>
            <w:tcBorders>
              <w:top w:val="nil"/>
              <w:left w:val="nil"/>
              <w:bottom w:val="nil"/>
              <w:right w:val="nil"/>
            </w:tcBorders>
            <w:tcMar>
              <w:top w:w="0" w:type="dxa"/>
              <w:left w:w="62" w:type="dxa"/>
              <w:bottom w:w="0" w:type="dxa"/>
              <w:right w:w="62" w:type="dxa"/>
            </w:tcMar>
          </w:tcPr>
          <w:p w:rsidR="00000000" w:rsidP="00C55F14">
            <w:pPr>
              <w:pStyle w:val="BodyText"/>
              <w:rPr>
                <w:lang w:val="en-NZ"/>
              </w:rPr>
            </w:pPr>
            <w:r w:rsidRPr="00C55F14">
              <w:t>Implement measures to control those risks in line with procedures</w:t>
            </w:r>
          </w:p>
        </w:tc>
      </w:tr>
      <w:tr w:rsidTr="00C55F1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55F14">
            <w:pPr>
              <w:pStyle w:val="BodyText"/>
              <w:rPr>
                <w:lang w:val="en-NZ"/>
              </w:rPr>
            </w:pPr>
          </w:p>
        </w:tc>
      </w:tr>
      <w:tr w:rsidTr="00C55F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55F14" w:rsidP="00C55F14">
            <w:pPr>
              <w:pStyle w:val="BodyText"/>
            </w:pPr>
            <w:r w:rsidRPr="00C55F14">
              <w:t>3</w:t>
            </w:r>
          </w:p>
        </w:tc>
        <w:tc>
          <w:tcPr>
            <w:tcW w:w="1962" w:type="dxa"/>
            <w:vMerge w:val="restart"/>
            <w:tcBorders>
              <w:top w:val="nil"/>
              <w:left w:val="nil"/>
              <w:bottom w:val="nil"/>
              <w:right w:val="nil"/>
            </w:tcBorders>
            <w:tcMar>
              <w:top w:w="0" w:type="dxa"/>
              <w:left w:w="62" w:type="dxa"/>
              <w:bottom w:w="0" w:type="dxa"/>
              <w:right w:w="62" w:type="dxa"/>
            </w:tcMar>
          </w:tcPr>
          <w:p w:rsidR="00000000" w:rsidP="00C55F14">
            <w:pPr>
              <w:pStyle w:val="BodyText"/>
              <w:rPr>
                <w:lang w:val="en-NZ"/>
              </w:rPr>
            </w:pPr>
            <w:r w:rsidRPr="00C55F14">
              <w:rPr>
                <w:rStyle w:val="SpecialBold"/>
              </w:rPr>
              <w:t>Load products for drying/curing</w:t>
            </w:r>
          </w:p>
        </w:tc>
        <w:tc>
          <w:tcPr>
            <w:tcW w:w="770" w:type="dxa"/>
            <w:tcBorders>
              <w:top w:val="nil"/>
              <w:left w:val="nil"/>
              <w:bottom w:val="nil"/>
              <w:right w:val="nil"/>
            </w:tcBorders>
            <w:tcMar>
              <w:top w:w="0" w:type="dxa"/>
              <w:left w:w="62" w:type="dxa"/>
              <w:bottom w:w="0" w:type="dxa"/>
              <w:right w:w="62" w:type="dxa"/>
            </w:tcMar>
          </w:tcPr>
          <w:p w:rsidR="00000000" w:rsidP="00C55F14">
            <w:pPr>
              <w:pStyle w:val="BodyText"/>
              <w:rPr>
                <w:lang w:val="en-NZ"/>
              </w:rPr>
            </w:pPr>
            <w:r w:rsidRPr="00C55F14">
              <w:t>3.1</w:t>
            </w:r>
          </w:p>
        </w:tc>
        <w:tc>
          <w:tcPr>
            <w:tcW w:w="5610" w:type="dxa"/>
            <w:tcBorders>
              <w:top w:val="nil"/>
              <w:left w:val="nil"/>
              <w:bottom w:val="nil"/>
              <w:right w:val="nil"/>
            </w:tcBorders>
            <w:tcMar>
              <w:top w:w="0" w:type="dxa"/>
              <w:left w:w="62" w:type="dxa"/>
              <w:bottom w:w="0" w:type="dxa"/>
              <w:right w:w="62" w:type="dxa"/>
            </w:tcMar>
          </w:tcPr>
          <w:p w:rsidR="00000000" w:rsidP="00C55F14">
            <w:pPr>
              <w:pStyle w:val="BodyText"/>
              <w:rPr>
                <w:lang w:val="en-NZ"/>
              </w:rPr>
            </w:pPr>
            <w:r w:rsidRPr="00C55F14">
              <w:t>Stack or set products to specification</w:t>
            </w:r>
          </w:p>
        </w:tc>
      </w:tr>
      <w:tr w:rsidTr="00C55F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55F14">
            <w:pPr>
              <w:pStyle w:val="BodyText"/>
              <w:rPr>
                <w:lang w:val="en-NZ"/>
              </w:rPr>
            </w:pPr>
            <w:r w:rsidRPr="00C55F14">
              <w:t>3.2</w:t>
            </w:r>
          </w:p>
        </w:tc>
        <w:tc>
          <w:tcPr>
            <w:tcW w:w="5610" w:type="dxa"/>
            <w:tcBorders>
              <w:top w:val="nil"/>
              <w:left w:val="nil"/>
              <w:bottom w:val="nil"/>
              <w:right w:val="nil"/>
            </w:tcBorders>
            <w:tcMar>
              <w:top w:w="0" w:type="dxa"/>
              <w:left w:w="62" w:type="dxa"/>
              <w:bottom w:w="0" w:type="dxa"/>
              <w:right w:w="62" w:type="dxa"/>
            </w:tcMar>
          </w:tcPr>
          <w:p w:rsidR="00000000" w:rsidP="00C55F14">
            <w:pPr>
              <w:pStyle w:val="BodyText"/>
              <w:rPr>
                <w:lang w:val="en-NZ"/>
              </w:rPr>
            </w:pPr>
            <w:r w:rsidRPr="00C55F14">
              <w:t>Ensure correct stacking pattern is used</w:t>
            </w:r>
          </w:p>
        </w:tc>
      </w:tr>
      <w:tr w:rsidTr="00C55F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55F14">
            <w:pPr>
              <w:pStyle w:val="BodyText"/>
              <w:rPr>
                <w:lang w:val="en-NZ"/>
              </w:rPr>
            </w:pPr>
            <w:r w:rsidRPr="00C55F14">
              <w:t>3.3</w:t>
            </w:r>
          </w:p>
        </w:tc>
        <w:tc>
          <w:tcPr>
            <w:tcW w:w="5610" w:type="dxa"/>
            <w:tcBorders>
              <w:top w:val="nil"/>
              <w:left w:val="nil"/>
              <w:bottom w:val="nil"/>
              <w:right w:val="nil"/>
            </w:tcBorders>
            <w:tcMar>
              <w:top w:w="0" w:type="dxa"/>
              <w:left w:w="62" w:type="dxa"/>
              <w:bottom w:w="0" w:type="dxa"/>
              <w:right w:w="62" w:type="dxa"/>
            </w:tcMar>
          </w:tcPr>
          <w:p w:rsidR="00000000" w:rsidP="00C55F14">
            <w:pPr>
              <w:pStyle w:val="BodyText"/>
              <w:rPr>
                <w:lang w:val="en-NZ"/>
              </w:rPr>
            </w:pPr>
            <w:r w:rsidRPr="00C55F14">
              <w:t>Allow adequate space around each item</w:t>
            </w:r>
          </w:p>
        </w:tc>
      </w:tr>
      <w:tr w:rsidTr="00C55F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55F14">
            <w:pPr>
              <w:pStyle w:val="BodyText"/>
              <w:rPr>
                <w:lang w:val="en-NZ"/>
              </w:rPr>
            </w:pPr>
            <w:r w:rsidRPr="00C55F14">
              <w:t>3.4</w:t>
            </w:r>
          </w:p>
        </w:tc>
        <w:tc>
          <w:tcPr>
            <w:tcW w:w="5610" w:type="dxa"/>
            <w:tcBorders>
              <w:top w:val="nil"/>
              <w:left w:val="nil"/>
              <w:bottom w:val="nil"/>
              <w:right w:val="nil"/>
            </w:tcBorders>
            <w:tcMar>
              <w:top w:w="0" w:type="dxa"/>
              <w:left w:w="62" w:type="dxa"/>
              <w:bottom w:w="0" w:type="dxa"/>
              <w:right w:w="62" w:type="dxa"/>
            </w:tcMar>
          </w:tcPr>
          <w:p w:rsidR="00000000" w:rsidP="00C55F14">
            <w:pPr>
              <w:pStyle w:val="BodyText"/>
              <w:rPr>
                <w:lang w:val="en-NZ"/>
              </w:rPr>
            </w:pPr>
            <w:r w:rsidRPr="00C55F14">
              <w:t>Use av</w:t>
            </w:r>
            <w:r w:rsidRPr="00C55F14">
              <w:t>ailable space effectively</w:t>
            </w:r>
          </w:p>
        </w:tc>
      </w:tr>
      <w:tr w:rsidTr="00C55F1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55F14">
            <w:pPr>
              <w:pStyle w:val="BodyText"/>
              <w:rPr>
                <w:lang w:val="en-NZ"/>
              </w:rPr>
            </w:pPr>
          </w:p>
        </w:tc>
      </w:tr>
      <w:tr w:rsidTr="00C55F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55F14" w:rsidP="00C55F14">
            <w:pPr>
              <w:pStyle w:val="BodyText"/>
            </w:pPr>
            <w:r w:rsidRPr="00C55F14">
              <w:t>4</w:t>
            </w:r>
          </w:p>
        </w:tc>
        <w:tc>
          <w:tcPr>
            <w:tcW w:w="1962" w:type="dxa"/>
            <w:vMerge w:val="restart"/>
            <w:tcBorders>
              <w:top w:val="nil"/>
              <w:left w:val="nil"/>
              <w:bottom w:val="nil"/>
              <w:right w:val="nil"/>
            </w:tcBorders>
            <w:tcMar>
              <w:top w:w="0" w:type="dxa"/>
              <w:left w:w="62" w:type="dxa"/>
              <w:bottom w:w="0" w:type="dxa"/>
              <w:right w:w="62" w:type="dxa"/>
            </w:tcMar>
          </w:tcPr>
          <w:p w:rsidR="00000000" w:rsidP="00C55F14">
            <w:pPr>
              <w:pStyle w:val="BodyText"/>
              <w:rPr>
                <w:lang w:val="en-NZ"/>
              </w:rPr>
            </w:pPr>
            <w:r w:rsidRPr="00C55F14">
              <w:rPr>
                <w:rStyle w:val="SpecialBold"/>
              </w:rPr>
              <w:t>Dry/cure products</w:t>
            </w:r>
          </w:p>
        </w:tc>
        <w:tc>
          <w:tcPr>
            <w:tcW w:w="770" w:type="dxa"/>
            <w:tcBorders>
              <w:top w:val="nil"/>
              <w:left w:val="nil"/>
              <w:bottom w:val="nil"/>
              <w:right w:val="nil"/>
            </w:tcBorders>
            <w:tcMar>
              <w:top w:w="0" w:type="dxa"/>
              <w:left w:w="62" w:type="dxa"/>
              <w:bottom w:w="0" w:type="dxa"/>
              <w:right w:w="62" w:type="dxa"/>
            </w:tcMar>
          </w:tcPr>
          <w:p w:rsidR="00000000" w:rsidP="00C55F14">
            <w:pPr>
              <w:pStyle w:val="BodyText"/>
              <w:rPr>
                <w:lang w:val="en-NZ"/>
              </w:rPr>
            </w:pPr>
            <w:r w:rsidRPr="00C55F14">
              <w:t>4.1</w:t>
            </w:r>
          </w:p>
        </w:tc>
        <w:tc>
          <w:tcPr>
            <w:tcW w:w="5610" w:type="dxa"/>
            <w:tcBorders>
              <w:top w:val="nil"/>
              <w:left w:val="nil"/>
              <w:bottom w:val="nil"/>
              <w:right w:val="nil"/>
            </w:tcBorders>
            <w:tcMar>
              <w:top w:w="0" w:type="dxa"/>
              <w:left w:w="62" w:type="dxa"/>
              <w:bottom w:w="0" w:type="dxa"/>
              <w:right w:w="62" w:type="dxa"/>
            </w:tcMar>
          </w:tcPr>
          <w:p w:rsidR="00000000" w:rsidP="00C55F14">
            <w:pPr>
              <w:pStyle w:val="BodyText"/>
              <w:rPr>
                <w:lang w:val="en-NZ"/>
              </w:rPr>
            </w:pPr>
            <w:r w:rsidRPr="00C55F14">
              <w:t>Monitor drying equipment and test products to determine correct conditions</w:t>
            </w:r>
          </w:p>
        </w:tc>
      </w:tr>
      <w:tr w:rsidTr="00C55F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55F14">
            <w:pPr>
              <w:pStyle w:val="BodyText"/>
              <w:rPr>
                <w:lang w:val="en-NZ"/>
              </w:rPr>
            </w:pPr>
            <w:r w:rsidRPr="00C55F14">
              <w:t>4.2</w:t>
            </w:r>
          </w:p>
        </w:tc>
        <w:tc>
          <w:tcPr>
            <w:tcW w:w="5610" w:type="dxa"/>
            <w:tcBorders>
              <w:top w:val="nil"/>
              <w:left w:val="nil"/>
              <w:bottom w:val="nil"/>
              <w:right w:val="nil"/>
            </w:tcBorders>
            <w:tcMar>
              <w:top w:w="0" w:type="dxa"/>
              <w:left w:w="62" w:type="dxa"/>
              <w:bottom w:w="0" w:type="dxa"/>
              <w:right w:w="62" w:type="dxa"/>
            </w:tcMar>
          </w:tcPr>
          <w:p w:rsidR="00000000" w:rsidP="00C55F14">
            <w:pPr>
              <w:pStyle w:val="BodyText"/>
              <w:rPr>
                <w:lang w:val="en-NZ"/>
              </w:rPr>
            </w:pPr>
            <w:r w:rsidRPr="00C55F14">
              <w:t>Adjust temperature and humidity to maintain correct conditions</w:t>
            </w:r>
          </w:p>
        </w:tc>
      </w:tr>
      <w:tr w:rsidTr="00C55F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55F14">
            <w:pPr>
              <w:pStyle w:val="BodyText"/>
              <w:rPr>
                <w:lang w:val="en-NZ"/>
              </w:rPr>
            </w:pPr>
            <w:r w:rsidRPr="00C55F14">
              <w:t>4.3</w:t>
            </w:r>
          </w:p>
        </w:tc>
        <w:tc>
          <w:tcPr>
            <w:tcW w:w="5610" w:type="dxa"/>
            <w:tcBorders>
              <w:top w:val="nil"/>
              <w:left w:val="nil"/>
              <w:bottom w:val="nil"/>
              <w:right w:val="nil"/>
            </w:tcBorders>
            <w:tcMar>
              <w:top w:w="0" w:type="dxa"/>
              <w:left w:w="62" w:type="dxa"/>
              <w:bottom w:w="0" w:type="dxa"/>
              <w:right w:w="62" w:type="dxa"/>
            </w:tcMar>
          </w:tcPr>
          <w:p w:rsidR="00000000" w:rsidP="00C55F14">
            <w:pPr>
              <w:pStyle w:val="BodyText"/>
              <w:rPr>
                <w:lang w:val="en-NZ"/>
              </w:rPr>
            </w:pPr>
            <w:r w:rsidRPr="00C55F14">
              <w:t>Remove product from the area and st</w:t>
            </w:r>
            <w:r w:rsidRPr="00C55F14">
              <w:t>ore appropriately</w:t>
            </w:r>
          </w:p>
        </w:tc>
      </w:tr>
      <w:tr w:rsidTr="00C55F1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55F14">
            <w:pPr>
              <w:pStyle w:val="BodyText"/>
              <w:rPr>
                <w:lang w:val="en-NZ"/>
              </w:rPr>
            </w:pPr>
          </w:p>
        </w:tc>
      </w:tr>
      <w:tr w:rsidTr="00C55F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55F14" w:rsidP="00C55F14">
            <w:pPr>
              <w:pStyle w:val="BodyText"/>
            </w:pPr>
            <w:r w:rsidRPr="00C55F14">
              <w:t>5</w:t>
            </w:r>
          </w:p>
        </w:tc>
        <w:tc>
          <w:tcPr>
            <w:tcW w:w="1962" w:type="dxa"/>
            <w:vMerge w:val="restart"/>
            <w:tcBorders>
              <w:top w:val="nil"/>
              <w:left w:val="nil"/>
              <w:bottom w:val="nil"/>
              <w:right w:val="nil"/>
            </w:tcBorders>
            <w:tcMar>
              <w:top w:w="0" w:type="dxa"/>
              <w:left w:w="62" w:type="dxa"/>
              <w:bottom w:w="0" w:type="dxa"/>
              <w:right w:w="62" w:type="dxa"/>
            </w:tcMar>
          </w:tcPr>
          <w:p w:rsidR="00000000" w:rsidP="00C55F14">
            <w:pPr>
              <w:pStyle w:val="BodyText"/>
              <w:rPr>
                <w:lang w:val="en-NZ"/>
              </w:rPr>
            </w:pPr>
            <w:r w:rsidRPr="00C55F14">
              <w:rPr>
                <w:rStyle w:val="SpecialBold"/>
              </w:rPr>
              <w:t>Finish green products</w:t>
            </w:r>
          </w:p>
        </w:tc>
        <w:tc>
          <w:tcPr>
            <w:tcW w:w="770" w:type="dxa"/>
            <w:tcBorders>
              <w:top w:val="nil"/>
              <w:left w:val="nil"/>
              <w:bottom w:val="nil"/>
              <w:right w:val="nil"/>
            </w:tcBorders>
            <w:tcMar>
              <w:top w:w="0" w:type="dxa"/>
              <w:left w:w="62" w:type="dxa"/>
              <w:bottom w:w="0" w:type="dxa"/>
              <w:right w:w="62" w:type="dxa"/>
            </w:tcMar>
          </w:tcPr>
          <w:p w:rsidR="00000000" w:rsidP="00C55F14">
            <w:pPr>
              <w:pStyle w:val="BodyText"/>
              <w:rPr>
                <w:lang w:val="en-NZ"/>
              </w:rPr>
            </w:pPr>
            <w:r w:rsidRPr="00C55F14">
              <w:t>5.1</w:t>
            </w:r>
          </w:p>
        </w:tc>
        <w:tc>
          <w:tcPr>
            <w:tcW w:w="5610" w:type="dxa"/>
            <w:tcBorders>
              <w:top w:val="nil"/>
              <w:left w:val="nil"/>
              <w:bottom w:val="nil"/>
              <w:right w:val="nil"/>
            </w:tcBorders>
            <w:tcMar>
              <w:top w:w="0" w:type="dxa"/>
              <w:left w:w="62" w:type="dxa"/>
              <w:bottom w:w="0" w:type="dxa"/>
              <w:right w:w="62" w:type="dxa"/>
            </w:tcMar>
          </w:tcPr>
          <w:p w:rsidR="00000000" w:rsidP="00C55F14">
            <w:pPr>
              <w:pStyle w:val="BodyText"/>
              <w:rPr>
                <w:lang w:val="en-NZ"/>
              </w:rPr>
            </w:pPr>
            <w:r w:rsidRPr="00C55F14">
              <w:t>Finish products to specifications</w:t>
            </w:r>
          </w:p>
        </w:tc>
      </w:tr>
      <w:tr w:rsidTr="00C55F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55F14">
            <w:pPr>
              <w:pStyle w:val="BodyText"/>
              <w:rPr>
                <w:lang w:val="en-NZ"/>
              </w:rPr>
            </w:pPr>
            <w:r w:rsidRPr="00C55F14">
              <w:t>5.2</w:t>
            </w:r>
          </w:p>
        </w:tc>
        <w:tc>
          <w:tcPr>
            <w:tcW w:w="5610" w:type="dxa"/>
            <w:tcBorders>
              <w:top w:val="nil"/>
              <w:left w:val="nil"/>
              <w:bottom w:val="nil"/>
              <w:right w:val="nil"/>
            </w:tcBorders>
            <w:tcMar>
              <w:top w:w="0" w:type="dxa"/>
              <w:left w:w="62" w:type="dxa"/>
              <w:bottom w:w="0" w:type="dxa"/>
              <w:right w:w="62" w:type="dxa"/>
            </w:tcMar>
          </w:tcPr>
          <w:p w:rsidR="00000000" w:rsidP="00C55F14">
            <w:pPr>
              <w:pStyle w:val="BodyText"/>
              <w:rPr>
                <w:lang w:val="en-NZ"/>
              </w:rPr>
            </w:pPr>
            <w:r w:rsidRPr="00C55F14">
              <w:t>Ensure condition of product is acceptable</w:t>
            </w:r>
          </w:p>
        </w:tc>
      </w:tr>
      <w:tr w:rsidTr="00C55F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55F14">
            <w:pPr>
              <w:pStyle w:val="BodyText"/>
              <w:rPr>
                <w:lang w:val="en-NZ"/>
              </w:rPr>
            </w:pPr>
            <w:r w:rsidRPr="00C55F14">
              <w:t>5.3</w:t>
            </w:r>
          </w:p>
        </w:tc>
        <w:tc>
          <w:tcPr>
            <w:tcW w:w="5610" w:type="dxa"/>
            <w:tcBorders>
              <w:top w:val="nil"/>
              <w:left w:val="nil"/>
              <w:bottom w:val="nil"/>
              <w:right w:val="nil"/>
            </w:tcBorders>
            <w:tcMar>
              <w:top w:w="0" w:type="dxa"/>
              <w:left w:w="62" w:type="dxa"/>
              <w:bottom w:w="0" w:type="dxa"/>
              <w:right w:w="62" w:type="dxa"/>
            </w:tcMar>
          </w:tcPr>
          <w:p w:rsidR="00000000" w:rsidP="00C55F14">
            <w:pPr>
              <w:pStyle w:val="BodyText"/>
              <w:rPr>
                <w:lang w:val="en-NZ"/>
              </w:rPr>
            </w:pPr>
            <w:r w:rsidRPr="00C55F14">
              <w:t>Store products in appropriate area</w:t>
            </w:r>
          </w:p>
        </w:tc>
      </w:tr>
      <w:tr w:rsidTr="00C55F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55F14">
            <w:pPr>
              <w:pStyle w:val="BodyText"/>
              <w:rPr>
                <w:lang w:val="en-NZ"/>
              </w:rPr>
            </w:pPr>
            <w:r w:rsidRPr="00C55F14">
              <w:t>5.4</w:t>
            </w:r>
          </w:p>
        </w:tc>
        <w:tc>
          <w:tcPr>
            <w:tcW w:w="5610" w:type="dxa"/>
            <w:tcBorders>
              <w:top w:val="nil"/>
              <w:left w:val="nil"/>
              <w:bottom w:val="nil"/>
              <w:right w:val="nil"/>
            </w:tcBorders>
            <w:tcMar>
              <w:top w:w="0" w:type="dxa"/>
              <w:left w:w="62" w:type="dxa"/>
              <w:bottom w:w="0" w:type="dxa"/>
              <w:right w:w="62" w:type="dxa"/>
            </w:tcMar>
          </w:tcPr>
          <w:p w:rsidR="00000000" w:rsidP="00C55F14">
            <w:pPr>
              <w:pStyle w:val="BodyText"/>
              <w:rPr>
                <w:lang w:val="en-NZ"/>
              </w:rPr>
            </w:pPr>
            <w:r w:rsidRPr="00C55F14">
              <w:t>Repair product and/or report product faults to the designated person</w:t>
            </w:r>
          </w:p>
        </w:tc>
      </w:tr>
      <w:tr w:rsidTr="00C55F1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55F14">
            <w:pPr>
              <w:pStyle w:val="BodyText"/>
              <w:rPr>
                <w:lang w:val="en-NZ"/>
              </w:rPr>
            </w:pPr>
          </w:p>
        </w:tc>
      </w:tr>
      <w:tr w:rsidTr="00C55F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55F14" w:rsidP="00C55F14">
            <w:pPr>
              <w:pStyle w:val="BodyText"/>
            </w:pPr>
            <w:r w:rsidRPr="00C55F14">
              <w:t>6</w:t>
            </w:r>
          </w:p>
        </w:tc>
        <w:tc>
          <w:tcPr>
            <w:tcW w:w="1962" w:type="dxa"/>
            <w:vMerge w:val="restart"/>
            <w:tcBorders>
              <w:top w:val="nil"/>
              <w:left w:val="nil"/>
              <w:bottom w:val="nil"/>
              <w:right w:val="nil"/>
            </w:tcBorders>
            <w:tcMar>
              <w:top w:w="0" w:type="dxa"/>
              <w:left w:w="62" w:type="dxa"/>
              <w:bottom w:w="0" w:type="dxa"/>
              <w:right w:w="62" w:type="dxa"/>
            </w:tcMar>
          </w:tcPr>
          <w:p w:rsidR="00000000" w:rsidP="00C55F14">
            <w:pPr>
              <w:pStyle w:val="BodyText"/>
              <w:rPr>
                <w:lang w:val="en-NZ"/>
              </w:rPr>
            </w:pPr>
            <w:r w:rsidRPr="00C55F14">
              <w:rPr>
                <w:rStyle w:val="SpecialBold"/>
              </w:rPr>
              <w:t>Rectify routine problems</w:t>
            </w:r>
          </w:p>
        </w:tc>
        <w:tc>
          <w:tcPr>
            <w:tcW w:w="770" w:type="dxa"/>
            <w:tcBorders>
              <w:top w:val="nil"/>
              <w:left w:val="nil"/>
              <w:bottom w:val="nil"/>
              <w:right w:val="nil"/>
            </w:tcBorders>
            <w:tcMar>
              <w:top w:w="0" w:type="dxa"/>
              <w:left w:w="62" w:type="dxa"/>
              <w:bottom w:w="0" w:type="dxa"/>
              <w:right w:w="62" w:type="dxa"/>
            </w:tcMar>
          </w:tcPr>
          <w:p w:rsidR="00000000" w:rsidP="00C55F14">
            <w:pPr>
              <w:pStyle w:val="BodyText"/>
              <w:rPr>
                <w:lang w:val="en-NZ"/>
              </w:rPr>
            </w:pPr>
            <w:r w:rsidRPr="00C55F14">
              <w:t>6.1</w:t>
            </w:r>
          </w:p>
        </w:tc>
        <w:tc>
          <w:tcPr>
            <w:tcW w:w="5610" w:type="dxa"/>
            <w:tcBorders>
              <w:top w:val="nil"/>
              <w:left w:val="nil"/>
              <w:bottom w:val="nil"/>
              <w:right w:val="nil"/>
            </w:tcBorders>
            <w:tcMar>
              <w:top w:w="0" w:type="dxa"/>
              <w:left w:w="62" w:type="dxa"/>
              <w:bottom w:w="0" w:type="dxa"/>
              <w:right w:w="62" w:type="dxa"/>
            </w:tcMar>
          </w:tcPr>
          <w:p w:rsidR="00000000" w:rsidP="00C55F14">
            <w:pPr>
              <w:pStyle w:val="BodyText"/>
              <w:rPr>
                <w:lang w:val="en-NZ"/>
              </w:rPr>
            </w:pPr>
            <w:r w:rsidRPr="00C55F14">
              <w:t>Identify the range of faults that can occur during the operation</w:t>
            </w:r>
          </w:p>
        </w:tc>
      </w:tr>
      <w:tr w:rsidTr="00C55F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55F14">
            <w:pPr>
              <w:pStyle w:val="BodyText"/>
              <w:rPr>
                <w:lang w:val="en-NZ"/>
              </w:rPr>
            </w:pPr>
            <w:r w:rsidRPr="00C55F14">
              <w:t>6.2</w:t>
            </w:r>
          </w:p>
        </w:tc>
        <w:tc>
          <w:tcPr>
            <w:tcW w:w="5610" w:type="dxa"/>
            <w:tcBorders>
              <w:top w:val="nil"/>
              <w:left w:val="nil"/>
              <w:bottom w:val="nil"/>
              <w:right w:val="nil"/>
            </w:tcBorders>
            <w:tcMar>
              <w:top w:w="0" w:type="dxa"/>
              <w:left w:w="62" w:type="dxa"/>
              <w:bottom w:w="0" w:type="dxa"/>
              <w:right w:w="62" w:type="dxa"/>
            </w:tcMar>
          </w:tcPr>
          <w:p w:rsidR="00000000" w:rsidP="00C55F14">
            <w:pPr>
              <w:pStyle w:val="BodyText"/>
              <w:rPr>
                <w:lang w:val="en-NZ"/>
              </w:rPr>
            </w:pPr>
            <w:r w:rsidRPr="00C55F14">
              <w:t>Determine and rectify fault causes in accordance with procedures</w:t>
            </w:r>
          </w:p>
        </w:tc>
      </w:tr>
      <w:tr w:rsidTr="00C55F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55F14">
            <w:pPr>
              <w:pStyle w:val="BodyText"/>
              <w:rPr>
                <w:lang w:val="en-NZ"/>
              </w:rPr>
            </w:pPr>
            <w:r w:rsidRPr="00C55F14">
              <w:t>6.3</w:t>
            </w:r>
          </w:p>
        </w:tc>
        <w:tc>
          <w:tcPr>
            <w:tcW w:w="5610" w:type="dxa"/>
            <w:tcBorders>
              <w:top w:val="nil"/>
              <w:left w:val="nil"/>
              <w:bottom w:val="nil"/>
              <w:right w:val="nil"/>
            </w:tcBorders>
            <w:tcMar>
              <w:top w:w="0" w:type="dxa"/>
              <w:left w:w="62" w:type="dxa"/>
              <w:bottom w:w="0" w:type="dxa"/>
              <w:right w:w="62" w:type="dxa"/>
            </w:tcMar>
          </w:tcPr>
          <w:p w:rsidR="00000000" w:rsidP="00C55F14">
            <w:pPr>
              <w:pStyle w:val="BodyText"/>
              <w:rPr>
                <w:lang w:val="en-NZ"/>
              </w:rPr>
            </w:pPr>
            <w:r w:rsidRPr="00C55F14">
              <w:t>Identify and rectify equipment failure causes to procedures</w:t>
            </w:r>
          </w:p>
        </w:tc>
      </w:tr>
      <w:tr w:rsidTr="00C55F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55F14">
            <w:pPr>
              <w:pStyle w:val="BodyText"/>
              <w:rPr>
                <w:lang w:val="en-NZ"/>
              </w:rPr>
            </w:pPr>
            <w:r w:rsidRPr="00C55F14">
              <w:t>6.4</w:t>
            </w:r>
          </w:p>
        </w:tc>
        <w:tc>
          <w:tcPr>
            <w:tcW w:w="5610" w:type="dxa"/>
            <w:tcBorders>
              <w:top w:val="nil"/>
              <w:left w:val="nil"/>
              <w:bottom w:val="nil"/>
              <w:right w:val="nil"/>
            </w:tcBorders>
            <w:tcMar>
              <w:top w:w="0" w:type="dxa"/>
              <w:left w:w="62" w:type="dxa"/>
              <w:bottom w:w="0" w:type="dxa"/>
              <w:right w:w="62" w:type="dxa"/>
            </w:tcMar>
          </w:tcPr>
          <w:p w:rsidR="00000000" w:rsidP="00C55F14">
            <w:pPr>
              <w:pStyle w:val="BodyText"/>
              <w:rPr>
                <w:lang w:val="en-NZ"/>
              </w:rPr>
            </w:pPr>
            <w:r w:rsidRPr="00C55F14">
              <w:t>Make sure appropriate records and log books of equipment operations are maintained to meet procedures</w:t>
            </w:r>
          </w:p>
        </w:tc>
      </w:tr>
      <w:tr w:rsidTr="00C55F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55F14">
            <w:pPr>
              <w:pStyle w:val="BodyText"/>
              <w:rPr>
                <w:lang w:val="en-NZ"/>
              </w:rPr>
            </w:pPr>
            <w:r w:rsidRPr="00C55F14">
              <w:t>6.5</w:t>
            </w:r>
          </w:p>
        </w:tc>
        <w:tc>
          <w:tcPr>
            <w:tcW w:w="5610" w:type="dxa"/>
            <w:tcBorders>
              <w:top w:val="nil"/>
              <w:left w:val="nil"/>
              <w:bottom w:val="nil"/>
              <w:right w:val="nil"/>
            </w:tcBorders>
            <w:tcMar>
              <w:top w:w="0" w:type="dxa"/>
              <w:left w:w="62" w:type="dxa"/>
              <w:bottom w:w="0" w:type="dxa"/>
              <w:right w:w="62" w:type="dxa"/>
            </w:tcMar>
          </w:tcPr>
          <w:p w:rsidR="00000000" w:rsidRPr="00C55F14" w:rsidP="00C55F14">
            <w:pPr>
              <w:pStyle w:val="BodyText"/>
            </w:pPr>
            <w:r w:rsidRPr="00C55F14">
              <w:t>Identify non-routine problems and report to designated person</w:t>
            </w:r>
          </w:p>
        </w:tc>
      </w:tr>
    </w:tbl>
    <w:p w:rsidR="00000000" w:rsidRPr="00C55F14" w:rsidP="00C55F14">
      <w:pPr>
        <w:pStyle w:val="BodyText"/>
      </w:pPr>
    </w:p>
    <w:p w:rsidR="00000000" w:rsidRPr="00C55F14" w:rsidP="00C55F14">
      <w:pPr>
        <w:pStyle w:val="AllowPageBreak"/>
      </w:pPr>
    </w:p>
    <w:p w:rsidR="00000000" w:rsidRPr="00C55F14" w:rsidP="00C55F14">
      <w:pPr>
        <w:pStyle w:val="Heading1"/>
      </w:pPr>
      <w:bookmarkStart w:id="7" w:name="O_928113"/>
      <w:bookmarkEnd w:id="7"/>
      <w:r w:rsidRPr="00C55F14">
        <w:t>Foundation Skills</w:t>
      </w:r>
    </w:p>
    <w:p w:rsidR="00000000" w:rsidRPr="00C55F14" w:rsidP="00C55F14">
      <w:pPr>
        <w:pStyle w:val="BodyText"/>
      </w:pPr>
      <w:r w:rsidRPr="00C55F14">
        <w:t>This section describes those required skills (la</w:t>
      </w:r>
      <w:r w:rsidRPr="00C55F14">
        <w:t>nguage, literacy and numeracy) that are essential to performance.</w:t>
      </w:r>
    </w:p>
    <w:p w:rsidR="00000000" w:rsidRPr="00C55F14" w:rsidP="00C55F14">
      <w:pPr>
        <w:pStyle w:val="BodyText"/>
      </w:pPr>
    </w:p>
    <w:p w:rsidR="00000000" w:rsidRPr="00C55F14" w:rsidP="00C55F14">
      <w:pPr>
        <w:pStyle w:val="BodyText"/>
      </w:pPr>
      <w:r w:rsidRPr="00C55F14">
        <w:t>Foundation skills essential to performance are explicit in the performance criteria of this unit of competency.</w:t>
      </w:r>
    </w:p>
    <w:p w:rsidR="00000000" w:rsidRPr="00C55F14" w:rsidP="00C55F14">
      <w:pPr>
        <w:pStyle w:val="AllowPageBreak"/>
      </w:pPr>
    </w:p>
    <w:p w:rsidR="00000000" w:rsidRPr="00C55F14" w:rsidP="00C55F14">
      <w:pPr>
        <w:pStyle w:val="Heading1"/>
      </w:pPr>
      <w:bookmarkStart w:id="8" w:name="O_928112"/>
      <w:bookmarkEnd w:id="8"/>
      <w:r w:rsidRPr="00C55F14">
        <w:t>Range of Conditions</w:t>
      </w:r>
    </w:p>
    <w:tbl>
      <w:tblPr>
        <w:tblW w:w="0" w:type="auto"/>
        <w:tblCellMar>
          <w:left w:w="62" w:type="dxa"/>
          <w:right w:w="62" w:type="dxa"/>
        </w:tblCellMar>
        <w:tblLook w:val="0000"/>
      </w:tblPr>
      <w:tblGrid>
        <w:gridCol w:w="2140"/>
        <w:gridCol w:w="7056"/>
      </w:tblGrid>
      <w:tr w:rsidTr="00F3068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55F14">
            <w:pPr>
              <w:pStyle w:val="BodyText"/>
              <w:rPr>
                <w:lang w:val="en-NZ"/>
              </w:rPr>
            </w:pPr>
            <w:r w:rsidRPr="00C55F14">
              <w:t>This field allows for different work env</w:t>
            </w:r>
            <w:r w:rsidRPr="00C55F14">
              <w:t>ironments and conditions that may affect performance. Essential operating conditions that may be present (depending on the work situation, needs of the candidate, accessibility of the item, and local industry and regional contexts) are included.</w:t>
            </w:r>
          </w:p>
        </w:tc>
      </w:tr>
      <w:tr w:rsidTr="00F3068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55F14" w:rsidP="00C55F14">
            <w:pPr>
              <w:pStyle w:val="BodyText"/>
            </w:pPr>
            <w:r w:rsidRPr="00C55F14">
              <w:rPr>
                <w:rStyle w:val="SpecialBold"/>
              </w:rPr>
              <w:t>Regulatory framework</w:t>
            </w:r>
            <w:r w:rsidRPr="00C55F14">
              <w:t xml:space="preserve">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C55F14" w:rsidP="00C55F14">
            <w:pPr>
              <w:pStyle w:val="BodyText"/>
            </w:pPr>
            <w:r w:rsidRPr="00C55F14">
              <w:t>The latest version of all legislation, regulations, industry codes of practice and Australian/international standards, or the version specified by the local regulatory authority, must be used.</w:t>
            </w:r>
          </w:p>
          <w:p w:rsidR="00000000" w:rsidRPr="00C55F14" w:rsidP="00C55F14">
            <w:pPr>
              <w:pStyle w:val="BodyText"/>
            </w:pPr>
          </w:p>
          <w:p w:rsidR="00000000" w:rsidRPr="00C55F14" w:rsidP="00C55F14">
            <w:pPr>
              <w:pStyle w:val="BodyText"/>
            </w:pPr>
            <w:r w:rsidRPr="00C55F14">
              <w:t>Applicable legislation, regulations, st</w:t>
            </w:r>
            <w:r w:rsidRPr="00C55F14">
              <w:t>andards and codes of practice include:</w:t>
            </w:r>
          </w:p>
          <w:p w:rsidR="00000000" w:rsidRPr="00C55F14" w:rsidP="00C55F14">
            <w:pPr>
              <w:pStyle w:val="ListBullet"/>
            </w:pPr>
            <w:r w:rsidRPr="00C55F14">
              <w:t>health, safety and environmental (HSE) legislation, regulations and codes of practice relevant to the workplace, equipment and production processes and hazardous materials</w:t>
            </w:r>
          </w:p>
          <w:p w:rsidR="00000000" w:rsidRPr="00C55F14" w:rsidP="00C55F14">
            <w:pPr>
              <w:pStyle w:val="ListBullet"/>
            </w:pPr>
            <w:r w:rsidRPr="00C55F14">
              <w:t xml:space="preserve">Australian/international standards relevant </w:t>
            </w:r>
            <w:r w:rsidRPr="00C55F14">
              <w:t xml:space="preserve">to the materials being used and products being made </w:t>
            </w:r>
          </w:p>
          <w:p w:rsidR="00000000" w:rsidRPr="00C55F14" w:rsidP="00C55F14">
            <w:pPr>
              <w:pStyle w:val="ListBullet"/>
            </w:pPr>
            <w:r w:rsidRPr="00C55F14">
              <w:t>any relevant licence and certification requirements.</w:t>
            </w:r>
          </w:p>
          <w:p w:rsidR="00000000" w:rsidRPr="00C55F14" w:rsidP="00C55F14">
            <w:pPr>
              <w:pStyle w:val="BodyText"/>
            </w:pPr>
          </w:p>
          <w:p w:rsidR="00000000" w:rsidRPr="00C55F14" w:rsidP="00C55F14">
            <w:pPr>
              <w:pStyle w:val="BodyText"/>
            </w:pPr>
            <w:r w:rsidRPr="00C55F14">
              <w:t>All operations to which this unit applies are subject to stringent HSE requirements, which may be imposed through state/territory or federal legislat</w:t>
            </w:r>
            <w:r w:rsidRPr="00C55F14">
              <w:t>ion, and these must not be compromised at any time. Where there is an apparent conflict between performance criteria and such requirements the legislative requirements take precedence.</w:t>
            </w:r>
          </w:p>
          <w:p w:rsidR="00000000" w:rsidP="00C55F14">
            <w:pPr>
              <w:pStyle w:val="BodyText"/>
              <w:rPr>
                <w:lang w:val="en-NZ"/>
              </w:rPr>
            </w:pPr>
          </w:p>
        </w:tc>
      </w:tr>
      <w:tr w:rsidTr="00F3068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55F14">
            <w:pPr>
              <w:pStyle w:val="BodyText"/>
              <w:rPr>
                <w:lang w:val="en-NZ"/>
              </w:rPr>
            </w:pPr>
            <w:r w:rsidRPr="00C55F14">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C55F14" w:rsidP="00C55F14">
            <w:pPr>
              <w:pStyle w:val="BodyText"/>
            </w:pPr>
            <w:r w:rsidRPr="00C55F14">
              <w:t>All operations must be performed in accordance with relevant procedures.</w:t>
            </w:r>
          </w:p>
          <w:p w:rsidR="00000000" w:rsidRPr="00C55F14" w:rsidP="00C55F14">
            <w:pPr>
              <w:pStyle w:val="BodyText"/>
            </w:pPr>
          </w:p>
          <w:p w:rsidR="00000000" w:rsidRPr="00C55F14" w:rsidP="00C55F14">
            <w:pPr>
              <w:pStyle w:val="BodyText"/>
            </w:pPr>
            <w:r w:rsidRPr="00C55F14">
              <w:t>Procedures are written, verbal, visual, computer-based or in some other form, and include one or any combination of:</w:t>
            </w:r>
          </w:p>
          <w:p w:rsidR="00000000" w:rsidRPr="00C55F14" w:rsidP="00C55F14">
            <w:pPr>
              <w:pStyle w:val="ListBullet"/>
            </w:pPr>
            <w:r w:rsidRPr="00C55F14">
              <w:t>job cards</w:t>
            </w:r>
          </w:p>
          <w:p w:rsidR="00000000" w:rsidRPr="00C55F14" w:rsidP="00C55F14">
            <w:pPr>
              <w:pStyle w:val="ListBullet"/>
            </w:pPr>
            <w:r w:rsidRPr="00C55F14">
              <w:t>emergency procedures</w:t>
            </w:r>
          </w:p>
          <w:p w:rsidR="00000000" w:rsidRPr="00C55F14" w:rsidP="00C55F14">
            <w:pPr>
              <w:pStyle w:val="ListBullet"/>
            </w:pPr>
            <w:r w:rsidRPr="00C55F14">
              <w:t>work instructions</w:t>
            </w:r>
          </w:p>
          <w:p w:rsidR="00000000" w:rsidRPr="00C55F14" w:rsidP="00C55F14">
            <w:pPr>
              <w:pStyle w:val="ListBullet"/>
            </w:pPr>
            <w:r w:rsidRPr="00C55F14">
              <w:t>standard operat</w:t>
            </w:r>
            <w:r w:rsidRPr="00C55F14">
              <w:t>ing procedures (SOPs)</w:t>
            </w:r>
          </w:p>
          <w:p w:rsidR="00000000" w:rsidRPr="00C55F14" w:rsidP="00C55F14">
            <w:pPr>
              <w:pStyle w:val="ListBullet"/>
            </w:pPr>
            <w:r w:rsidRPr="00C55F14">
              <w:t>safe work method statements (SWMS)</w:t>
            </w:r>
          </w:p>
          <w:p w:rsidR="00000000" w:rsidRPr="00C55F14" w:rsidP="00C55F14">
            <w:pPr>
              <w:pStyle w:val="ListBullet"/>
            </w:pPr>
            <w:r w:rsidRPr="00C55F14">
              <w:t>formulas/recipes</w:t>
            </w:r>
          </w:p>
          <w:p w:rsidR="00000000" w:rsidRPr="00C55F14" w:rsidP="00C55F14">
            <w:pPr>
              <w:pStyle w:val="ListBullet"/>
            </w:pPr>
            <w:r w:rsidRPr="00C55F14">
              <w:t>batch sheets</w:t>
            </w:r>
          </w:p>
          <w:p w:rsidR="00000000" w:rsidRPr="00C55F14" w:rsidP="00C55F14">
            <w:pPr>
              <w:pStyle w:val="ListBullet"/>
            </w:pPr>
            <w:r w:rsidRPr="00C55F14">
              <w:t>temporary instructions</w:t>
            </w:r>
          </w:p>
          <w:p w:rsidR="00000000" w:rsidRPr="00C55F14" w:rsidP="00C55F14">
            <w:pPr>
              <w:pStyle w:val="ListBullet"/>
            </w:pPr>
            <w:r w:rsidRPr="00C55F14">
              <w:t>any similar instructions provided for the smooth running of the plant.</w:t>
            </w:r>
          </w:p>
          <w:p w:rsidR="00000000" w:rsidP="00C55F14">
            <w:pPr>
              <w:pStyle w:val="BodyText"/>
              <w:rPr>
                <w:lang w:val="en-NZ"/>
              </w:rPr>
            </w:pPr>
          </w:p>
        </w:tc>
      </w:tr>
      <w:tr w:rsidTr="00F3068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55F14">
            <w:pPr>
              <w:pStyle w:val="BodyText"/>
              <w:rPr>
                <w:lang w:val="en-NZ"/>
              </w:rPr>
            </w:pPr>
            <w:r w:rsidRPr="00C55F14">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C55F14" w:rsidP="00C55F14">
            <w:pPr>
              <w:pStyle w:val="BodyText"/>
            </w:pPr>
            <w:r w:rsidRPr="00C55F14">
              <w:t>Tools and equipment include:</w:t>
            </w:r>
          </w:p>
          <w:p w:rsidR="00000000" w:rsidRPr="00C55F14" w:rsidP="00C55F14">
            <w:pPr>
              <w:pStyle w:val="ListBullet"/>
            </w:pPr>
            <w:r w:rsidRPr="00C55F14">
              <w:t>drying area and equipment (e.g. cabinets, tunnel and curing kiln)</w:t>
            </w:r>
          </w:p>
          <w:p w:rsidR="00000000" w:rsidRPr="00C55F14" w:rsidP="00C55F14">
            <w:pPr>
              <w:pStyle w:val="ListBullet"/>
            </w:pPr>
            <w:r w:rsidRPr="00C55F14">
              <w:t>handling and stacking equipment (e.g. transfer cars, kiln cars, trolleys, shelving and racks)</w:t>
            </w:r>
          </w:p>
          <w:p w:rsidR="00000000" w:rsidRPr="00C55F14" w:rsidP="00C55F14">
            <w:pPr>
              <w:pStyle w:val="ListBullet"/>
            </w:pPr>
            <w:r w:rsidRPr="00C55F14">
              <w:t>templates</w:t>
            </w:r>
          </w:p>
          <w:p w:rsidR="00000000" w:rsidRPr="00C55F14" w:rsidP="00C55F14">
            <w:pPr>
              <w:pStyle w:val="ListBullet"/>
            </w:pPr>
            <w:r w:rsidRPr="00C55F14">
              <w:t>temperature measuring equipment</w:t>
            </w:r>
          </w:p>
          <w:p w:rsidR="00000000" w:rsidRPr="00C55F14" w:rsidP="00C55F14">
            <w:pPr>
              <w:pStyle w:val="ListBullet"/>
            </w:pPr>
            <w:r w:rsidRPr="00C55F14">
              <w:t xml:space="preserve">moisture measuring equipment (e.g. infra-red moisture </w:t>
            </w:r>
            <w:r w:rsidRPr="00C55F14">
              <w:t>meter).</w:t>
            </w:r>
          </w:p>
          <w:p w:rsidR="00000000" w:rsidP="00C55F14">
            <w:pPr>
              <w:pStyle w:val="BodyText"/>
              <w:rPr>
                <w:lang w:val="en-NZ"/>
              </w:rPr>
            </w:pPr>
          </w:p>
        </w:tc>
      </w:tr>
      <w:tr w:rsidTr="00F3068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55F14">
            <w:pPr>
              <w:pStyle w:val="BodyText"/>
              <w:rPr>
                <w:lang w:val="en-NZ"/>
              </w:rPr>
            </w:pPr>
            <w:r w:rsidRPr="00C55F14">
              <w:rPr>
                <w:rStyle w:val="SpecialBold"/>
              </w:rPr>
              <w:t>Problems/known solutions</w:t>
            </w:r>
          </w:p>
        </w:tc>
        <w:tc>
          <w:tcPr>
            <w:tcW w:w="0" w:type="auto"/>
            <w:tcBorders>
              <w:top w:val="nil"/>
              <w:left w:val="nil"/>
              <w:bottom w:val="nil"/>
              <w:right w:val="nil"/>
            </w:tcBorders>
            <w:tcMar>
              <w:top w:w="0" w:type="dxa"/>
              <w:left w:w="62" w:type="dxa"/>
              <w:bottom w:w="0" w:type="dxa"/>
              <w:right w:w="62" w:type="dxa"/>
            </w:tcMar>
          </w:tcPr>
          <w:p w:rsidR="00000000" w:rsidRPr="00C55F14" w:rsidP="00C55F14">
            <w:pPr>
              <w:pStyle w:val="BodyText"/>
            </w:pPr>
            <w:r w:rsidRPr="00C55F14">
              <w:t xml:space="preserve">Routine problems must be resolved by applying known solutions. </w:t>
            </w:r>
          </w:p>
          <w:p w:rsidR="00000000" w:rsidRPr="00C55F14" w:rsidP="00C55F14">
            <w:pPr>
              <w:pStyle w:val="BodyText"/>
            </w:pPr>
          </w:p>
          <w:p w:rsidR="00000000" w:rsidRPr="00C55F14" w:rsidP="00C55F14">
            <w:pPr>
              <w:pStyle w:val="BodyText"/>
            </w:pPr>
            <w:r w:rsidRPr="00C55F14">
              <w:t>Routine problems/known solutions are predictable and include one or more of:</w:t>
            </w:r>
          </w:p>
          <w:p w:rsidR="00000000" w:rsidRPr="00C55F14" w:rsidP="00C55F14">
            <w:pPr>
              <w:pStyle w:val="ListBullet"/>
            </w:pPr>
            <w:r w:rsidRPr="00C55F14">
              <w:t>inspecting and finishing to ensure surfaces are to specification</w:t>
            </w:r>
          </w:p>
          <w:p w:rsidR="00000000" w:rsidRPr="00C55F14" w:rsidP="00C55F14">
            <w:pPr>
              <w:pStyle w:val="ListBullet"/>
            </w:pPr>
            <w:r w:rsidRPr="00C55F14">
              <w:t>ensuring mois</w:t>
            </w:r>
            <w:r w:rsidRPr="00C55F14">
              <w:t>ture content is within requirements</w:t>
            </w:r>
          </w:p>
          <w:p w:rsidR="00000000" w:rsidRPr="00C55F14" w:rsidP="00C55F14">
            <w:pPr>
              <w:pStyle w:val="ListBullet"/>
            </w:pPr>
            <w:r w:rsidRPr="00C55F14">
              <w:t>ensuring product strength has been obtained</w:t>
            </w:r>
          </w:p>
          <w:p w:rsidR="00000000" w:rsidRPr="00C55F14" w:rsidP="00C55F14">
            <w:pPr>
              <w:pStyle w:val="ListBullet"/>
            </w:pPr>
            <w:r w:rsidRPr="00C55F14">
              <w:t>temperature and humidity control</w:t>
            </w:r>
          </w:p>
          <w:p w:rsidR="00000000" w:rsidRPr="00C55F14" w:rsidP="00C55F14">
            <w:pPr>
              <w:pStyle w:val="ListBullet"/>
            </w:pPr>
            <w:r w:rsidRPr="00C55F14">
              <w:t>distribution of product in drying/curing area.</w:t>
            </w:r>
          </w:p>
          <w:p w:rsidR="00000000" w:rsidRPr="00C55F14" w:rsidP="00C55F14">
            <w:pPr>
              <w:pStyle w:val="BodyText"/>
            </w:pPr>
          </w:p>
          <w:p w:rsidR="00000000" w:rsidRPr="00C55F14" w:rsidP="00C55F14">
            <w:pPr>
              <w:pStyle w:val="BodyText"/>
            </w:pPr>
            <w:r w:rsidRPr="00C55F14">
              <w:t>Known solutions are drawn from one or more of:</w:t>
            </w:r>
          </w:p>
          <w:p w:rsidR="00000000" w:rsidRPr="00C55F14" w:rsidP="00C55F14">
            <w:pPr>
              <w:pStyle w:val="ListBullet"/>
            </w:pPr>
            <w:r w:rsidRPr="00C55F14">
              <w:t>procedures</w:t>
            </w:r>
          </w:p>
          <w:p w:rsidR="00000000" w:rsidRPr="00C55F14" w:rsidP="00C55F14">
            <w:pPr>
              <w:pStyle w:val="ListBullet"/>
            </w:pPr>
            <w:r w:rsidRPr="00C55F14">
              <w:t>training</w:t>
            </w:r>
          </w:p>
          <w:p w:rsidR="00000000" w:rsidRPr="00C55F14" w:rsidP="00C55F14">
            <w:pPr>
              <w:pStyle w:val="ListBullet"/>
            </w:pPr>
            <w:r w:rsidRPr="00C55F14">
              <w:t>remembered experience.</w:t>
            </w:r>
          </w:p>
          <w:p w:rsidR="00000000" w:rsidRPr="00C55F14" w:rsidP="00C55F14">
            <w:pPr>
              <w:pStyle w:val="BodyText"/>
            </w:pPr>
          </w:p>
          <w:p w:rsidR="00000000" w:rsidRPr="00C55F14" w:rsidP="00C55F14">
            <w:pPr>
              <w:pStyle w:val="BodyText"/>
            </w:pPr>
            <w:r w:rsidRPr="00C55F14">
              <w:t>Non-routine problems must be reported according to according to relevant procedures.</w:t>
            </w:r>
          </w:p>
          <w:p w:rsidR="00000000" w:rsidP="00C55F14">
            <w:pPr>
              <w:pStyle w:val="BodyText"/>
              <w:rPr>
                <w:lang w:val="en-NZ"/>
              </w:rPr>
            </w:pPr>
          </w:p>
        </w:tc>
      </w:tr>
      <w:tr w:rsidTr="00F3068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55F14">
            <w:pPr>
              <w:pStyle w:val="BodyText"/>
              <w:rPr>
                <w:lang w:val="en-NZ"/>
              </w:rPr>
            </w:pPr>
            <w:r w:rsidRPr="00C55F14">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C55F14" w:rsidP="00C55F14">
            <w:pPr>
              <w:pStyle w:val="BodyText"/>
            </w:pPr>
            <w:r w:rsidRPr="00C55F14">
              <w:t>Hazards must be identified and controlled. Identifying hazards requires consideration of:</w:t>
            </w:r>
          </w:p>
          <w:p w:rsidR="00000000" w:rsidRPr="00C55F14" w:rsidP="00C55F14">
            <w:pPr>
              <w:pStyle w:val="ListBullet"/>
            </w:pPr>
            <w:r w:rsidRPr="00C55F14">
              <w:t>heat, smoke, dust, vapours or other atmospheric hazards</w:t>
            </w:r>
          </w:p>
          <w:p w:rsidR="00000000" w:rsidRPr="00C55F14" w:rsidP="00C55F14">
            <w:pPr>
              <w:pStyle w:val="ListBullet"/>
            </w:pPr>
            <w:r w:rsidRPr="00C55F14">
              <w:t>weight, shape, volume of materials to be handled</w:t>
            </w:r>
          </w:p>
          <w:p w:rsidR="00000000" w:rsidRPr="00C55F14" w:rsidP="00C55F14">
            <w:pPr>
              <w:pStyle w:val="ListBullet"/>
            </w:pPr>
            <w:r w:rsidRPr="00C55F14">
              <w:t>hazardous products and materials</w:t>
            </w:r>
          </w:p>
          <w:p w:rsidR="00000000" w:rsidRPr="00C55F14" w:rsidP="00C55F14">
            <w:pPr>
              <w:pStyle w:val="ListBullet"/>
            </w:pPr>
            <w:r w:rsidRPr="00C55F14">
              <w:t>sharp edges, protrusions or obstructions</w:t>
            </w:r>
          </w:p>
          <w:p w:rsidR="00000000" w:rsidRPr="00C55F14" w:rsidP="00C55F14">
            <w:pPr>
              <w:pStyle w:val="ListBullet"/>
            </w:pPr>
            <w:r w:rsidRPr="00C55F14">
              <w:t>slippery surfaces, spills or leaks</w:t>
            </w:r>
          </w:p>
          <w:p w:rsidR="00000000" w:rsidRPr="00C55F14" w:rsidP="00C55F14">
            <w:pPr>
              <w:pStyle w:val="ListBullet"/>
            </w:pPr>
            <w:r w:rsidRPr="00C55F14">
              <w:t>electricity</w:t>
            </w:r>
          </w:p>
          <w:p w:rsidR="00000000" w:rsidRPr="00C55F14" w:rsidP="00C55F14">
            <w:pPr>
              <w:pStyle w:val="ListBullet"/>
            </w:pPr>
            <w:r w:rsidRPr="00C55F14">
              <w:t>gas</w:t>
            </w:r>
          </w:p>
          <w:p w:rsidR="00000000" w:rsidRPr="00C55F14" w:rsidP="00C55F14">
            <w:pPr>
              <w:pStyle w:val="ListBullet"/>
            </w:pPr>
            <w:r w:rsidRPr="00C55F14">
              <w:t xml:space="preserve">gases and liquids under pressure </w:t>
            </w:r>
          </w:p>
          <w:p w:rsidR="00000000" w:rsidRPr="00C55F14" w:rsidP="00C55F14">
            <w:pPr>
              <w:pStyle w:val="ListBullet"/>
            </w:pPr>
            <w:r w:rsidRPr="00C55F14">
              <w:t>noise</w:t>
            </w:r>
          </w:p>
          <w:p w:rsidR="00000000" w:rsidRPr="00C55F14" w:rsidP="00C55F14">
            <w:pPr>
              <w:pStyle w:val="ListBullet"/>
            </w:pPr>
            <w:r w:rsidRPr="00C55F14">
              <w:t>rotational equipment or vibration</w:t>
            </w:r>
          </w:p>
          <w:p w:rsidR="00000000" w:rsidRPr="00C55F14" w:rsidP="00C55F14">
            <w:pPr>
              <w:pStyle w:val="ListBullet"/>
            </w:pPr>
            <w:r w:rsidRPr="00C55F14">
              <w:t>plant se</w:t>
            </w:r>
            <w:r w:rsidRPr="00C55F14">
              <w:t>rvices (steam, condensate, cooling water, etc)</w:t>
            </w:r>
          </w:p>
          <w:p w:rsidR="00000000" w:rsidRPr="00C55F14" w:rsidP="00C55F14">
            <w:pPr>
              <w:pStyle w:val="ListBullet"/>
            </w:pPr>
            <w:r w:rsidRPr="00C55F14">
              <w:t>structural hazards</w:t>
            </w:r>
          </w:p>
          <w:p w:rsidR="00000000" w:rsidRPr="00C55F14" w:rsidP="00C55F14">
            <w:pPr>
              <w:pStyle w:val="ListBullet"/>
            </w:pPr>
            <w:r w:rsidRPr="00C55F14">
              <w:t>equipment failures</w:t>
            </w:r>
          </w:p>
          <w:p w:rsidR="00000000" w:rsidRPr="00C55F14" w:rsidP="00C55F14">
            <w:pPr>
              <w:pStyle w:val="ListBullet"/>
            </w:pPr>
            <w:r w:rsidRPr="00C55F14">
              <w:t>machinery, equipment and product mass</w:t>
            </w:r>
          </w:p>
          <w:p w:rsidR="00000000" w:rsidRPr="00C55F14" w:rsidP="00C55F14">
            <w:pPr>
              <w:pStyle w:val="ListBullet"/>
            </w:pPr>
            <w:r w:rsidRPr="00C55F14">
              <w:t xml:space="preserve">limited head spaces or overhangs </w:t>
            </w:r>
          </w:p>
          <w:p w:rsidR="00000000" w:rsidRPr="00C55F14" w:rsidP="00C55F14">
            <w:pPr>
              <w:pStyle w:val="ListBullet"/>
            </w:pPr>
            <w:r w:rsidRPr="00C55F14">
              <w:t>working at heights</w:t>
            </w:r>
          </w:p>
          <w:p w:rsidR="00000000" w:rsidRPr="00C55F14" w:rsidP="00C55F14">
            <w:pPr>
              <w:pStyle w:val="ListBullet"/>
            </w:pPr>
            <w:r w:rsidRPr="00C55F14">
              <w:t>working in restricted or confined spaces</w:t>
            </w:r>
          </w:p>
          <w:p w:rsidR="00000000" w:rsidRPr="00C55F14" w:rsidP="00C55F14">
            <w:pPr>
              <w:pStyle w:val="ListBullet"/>
            </w:pPr>
            <w:r w:rsidRPr="00C55F14">
              <w:t>other hazards that might arise.</w:t>
            </w:r>
          </w:p>
          <w:p w:rsidR="00000000" w:rsidP="00C55F14">
            <w:pPr>
              <w:pStyle w:val="BodyText"/>
              <w:rPr>
                <w:lang w:val="en-NZ"/>
              </w:rPr>
            </w:pPr>
          </w:p>
        </w:tc>
      </w:tr>
      <w:tr w:rsidTr="00F3068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55F14">
            <w:pPr>
              <w:pStyle w:val="BodyText"/>
              <w:rPr>
                <w:lang w:val="en-NZ"/>
              </w:rPr>
            </w:pPr>
            <w:r w:rsidRPr="00C55F14">
              <w:rPr>
                <w:rStyle w:val="SpecialBold"/>
              </w:rPr>
              <w:t>Records and reports</w:t>
            </w:r>
          </w:p>
        </w:tc>
        <w:tc>
          <w:tcPr>
            <w:tcW w:w="0" w:type="auto"/>
            <w:tcBorders>
              <w:top w:val="nil"/>
              <w:left w:val="nil"/>
              <w:bottom w:val="nil"/>
              <w:right w:val="nil"/>
            </w:tcBorders>
            <w:tcMar>
              <w:top w:w="0" w:type="dxa"/>
              <w:left w:w="62" w:type="dxa"/>
              <w:bottom w:w="0" w:type="dxa"/>
              <w:right w:w="62" w:type="dxa"/>
            </w:tcMar>
          </w:tcPr>
          <w:p w:rsidR="00000000" w:rsidRPr="00C55F14" w:rsidP="00C55F14">
            <w:pPr>
              <w:pStyle w:val="BodyText"/>
            </w:pPr>
            <w:r w:rsidRPr="00C55F14">
              <w:t>Records include one or more of:</w:t>
            </w:r>
          </w:p>
          <w:p w:rsidR="00000000" w:rsidRPr="00C55F14" w:rsidP="00C55F14">
            <w:pPr>
              <w:pStyle w:val="ListBullet"/>
            </w:pPr>
            <w:r w:rsidRPr="00C55F14">
              <w:t>log books/sheets</w:t>
            </w:r>
          </w:p>
          <w:p w:rsidR="00000000" w:rsidRPr="00C55F14" w:rsidP="00C55F14">
            <w:pPr>
              <w:pStyle w:val="ListBullet"/>
            </w:pPr>
            <w:r w:rsidRPr="00C55F14">
              <w:t>electronic records</w:t>
            </w:r>
          </w:p>
          <w:p w:rsidR="00000000" w:rsidRPr="00C55F14" w:rsidP="00C55F14">
            <w:pPr>
              <w:pStyle w:val="ListBullet"/>
            </w:pPr>
            <w:r w:rsidRPr="00C55F14">
              <w:t>job/work sheets</w:t>
            </w:r>
          </w:p>
          <w:p w:rsidR="00000000" w:rsidRPr="00C55F14" w:rsidP="00C55F14">
            <w:pPr>
              <w:pStyle w:val="ListBullet"/>
            </w:pPr>
            <w:r w:rsidRPr="00C55F14">
              <w:t>other records used for the smooth running of the plant.</w:t>
            </w:r>
          </w:p>
          <w:p w:rsidR="00000000" w:rsidRPr="00C55F14" w:rsidP="00C55F14">
            <w:pPr>
              <w:pStyle w:val="BodyText"/>
            </w:pPr>
          </w:p>
          <w:p w:rsidR="00000000" w:rsidRPr="00C55F14" w:rsidP="00C55F14">
            <w:pPr>
              <w:pStyle w:val="BodyText"/>
            </w:pPr>
            <w:r w:rsidRPr="00C55F14">
              <w:t>Reports include one or more of:</w:t>
            </w:r>
          </w:p>
          <w:p w:rsidR="00000000" w:rsidRPr="00C55F14" w:rsidP="00C55F14">
            <w:pPr>
              <w:pStyle w:val="ListBullet"/>
            </w:pPr>
            <w:r w:rsidRPr="00C55F14">
              <w:t>paper or electronic-based logs and reports</w:t>
            </w:r>
          </w:p>
          <w:p w:rsidR="00000000" w:rsidRPr="00C55F14" w:rsidP="00C55F14">
            <w:pPr>
              <w:pStyle w:val="ListBullet"/>
            </w:pPr>
            <w:r w:rsidRPr="00C55F14">
              <w:t>verbal/radio repor</w:t>
            </w:r>
            <w:r w:rsidRPr="00C55F14">
              <w:t>ts</w:t>
            </w:r>
          </w:p>
          <w:p w:rsidR="00000000" w:rsidRPr="00C55F14" w:rsidP="00C55F14">
            <w:pPr>
              <w:pStyle w:val="ListBullet"/>
            </w:pPr>
            <w:r w:rsidRPr="00C55F14">
              <w:t>reporting items found which require action.</w:t>
            </w:r>
          </w:p>
        </w:tc>
      </w:tr>
    </w:tbl>
    <w:p w:rsidR="00000000" w:rsidRPr="00C55F14" w:rsidP="00C55F14">
      <w:pPr>
        <w:pStyle w:val="BodyText"/>
      </w:pPr>
    </w:p>
    <w:p w:rsidR="00000000" w:rsidRPr="00C55F14" w:rsidP="00C55F14">
      <w:pPr>
        <w:pStyle w:val="AllowPageBreak"/>
      </w:pPr>
    </w:p>
    <w:p w:rsidR="00000000" w:rsidRPr="00C55F14" w:rsidP="00C55F14">
      <w:pPr>
        <w:pStyle w:val="Heading1"/>
      </w:pPr>
      <w:bookmarkStart w:id="9" w:name="O_928111"/>
      <w:bookmarkEnd w:id="9"/>
      <w:r w:rsidRPr="00C55F14">
        <w:t>Unit Mapping Information</w:t>
      </w:r>
    </w:p>
    <w:p w:rsidR="00000000" w:rsidRPr="00C55F14" w:rsidP="00C55F14">
      <w:pPr>
        <w:pStyle w:val="BodyText"/>
      </w:pPr>
      <w:r w:rsidRPr="00C55F14">
        <w:t xml:space="preserve">Release 1. Supersedes and is equivalent to PMC552005C Process greenware/green products. </w:t>
      </w:r>
    </w:p>
    <w:p w:rsidR="00000000" w:rsidRPr="00C55F14" w:rsidP="00C55F14">
      <w:pPr>
        <w:pStyle w:val="AllowPageBreak"/>
      </w:pPr>
    </w:p>
    <w:p w:rsidR="00000000" w:rsidRPr="00C55F14" w:rsidP="00C55F14">
      <w:pPr>
        <w:pStyle w:val="Heading1"/>
      </w:pPr>
      <w:bookmarkStart w:id="10" w:name="O_928104"/>
      <w:bookmarkEnd w:id="10"/>
      <w:r w:rsidRPr="00C55F14">
        <w:t>Links</w:t>
      </w:r>
    </w:p>
    <w:p w:rsidR="00000000" w:rsidRPr="00C55F14" w:rsidP="00C55F14">
      <w:pPr>
        <w:pStyle w:val="BodyText"/>
      </w:pPr>
      <w:r w:rsidRPr="00C55F14">
        <w:t>MSA Training</w:t>
      </w:r>
      <w:r w:rsidRPr="00C55F14">
        <w:t xml:space="preserve"> Package Implementation Guides - http://mskills.org.au/training-packages/info/</w:t>
      </w:r>
    </w:p>
    <w:p w:rsidR="00000000" w:rsidRPr="00C55F14" w:rsidP="00C55F14"/>
    <w:sectPr w:rsidSect="00C55F1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F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F14" w:rsidRPr="00F30688" w:rsidP="00F306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F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688" w:rsidP="00C55F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F30688" w:rsidP="00C55F14">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30688" w:rsidP="00C55F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F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F14" w:rsidRPr="00F30688" w:rsidP="00F3068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F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688" w:rsidRPr="002D2AF8" w:rsidP="00C55F14">
    <w:pPr>
      <w:pStyle w:val="Header"/>
      <w:framePr w:wrap="around"/>
    </w:pPr>
    <w:r>
      <w:fldChar w:fldCharType="begin"/>
    </w:r>
    <w:r>
      <w:instrText xml:space="preserve"> TITLE   \* MERGEFORMAT </w:instrText>
    </w:r>
    <w:r>
      <w:fldChar w:fldCharType="separate"/>
    </w:r>
    <w:r>
      <w:t>PMC552005 Process greenware/green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F30688" w:rsidP="00C55F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65C04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D7A31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5F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55F14"/>
    <w:pPr>
      <w:spacing w:before="360" w:after="60"/>
      <w:outlineLvl w:val="0"/>
    </w:pPr>
    <w:rPr>
      <w:sz w:val="32"/>
    </w:rPr>
  </w:style>
  <w:style w:type="paragraph" w:styleId="Heading2">
    <w:name w:val="heading 2"/>
    <w:basedOn w:val="HeadingBase"/>
    <w:next w:val="BodyText"/>
    <w:link w:val="Heading2Char"/>
    <w:qFormat/>
    <w:rsid w:val="00C55F14"/>
    <w:pPr>
      <w:keepLines/>
      <w:spacing w:before="240" w:after="120"/>
      <w:outlineLvl w:val="1"/>
    </w:pPr>
    <w:rPr>
      <w:sz w:val="28"/>
      <w:szCs w:val="40"/>
    </w:rPr>
  </w:style>
  <w:style w:type="paragraph" w:styleId="Heading3">
    <w:name w:val="heading 3"/>
    <w:basedOn w:val="HeadingBase"/>
    <w:next w:val="BodyText"/>
    <w:link w:val="Heading3Char"/>
    <w:qFormat/>
    <w:rsid w:val="00C55F14"/>
    <w:pPr>
      <w:spacing w:before="180" w:after="120"/>
      <w:outlineLvl w:val="2"/>
    </w:pPr>
    <w:rPr>
      <w:spacing w:val="-10"/>
      <w:kern w:val="32"/>
    </w:rPr>
  </w:style>
  <w:style w:type="paragraph" w:styleId="Heading4">
    <w:name w:val="heading 4"/>
    <w:basedOn w:val="HeadingBase"/>
    <w:next w:val="BodyText"/>
    <w:link w:val="Heading4Char"/>
    <w:qFormat/>
    <w:rsid w:val="00C55F14"/>
    <w:pPr>
      <w:spacing w:before="160" w:after="120"/>
      <w:outlineLvl w:val="3"/>
    </w:pPr>
    <w:rPr>
      <w:sz w:val="22"/>
    </w:rPr>
  </w:style>
  <w:style w:type="paragraph" w:styleId="Heading5">
    <w:name w:val="heading 5"/>
    <w:basedOn w:val="HeadingBase"/>
    <w:next w:val="Normal"/>
    <w:link w:val="Heading5Char"/>
    <w:qFormat/>
    <w:rsid w:val="00C55F14"/>
    <w:pPr>
      <w:spacing w:before="80"/>
      <w:outlineLvl w:val="4"/>
    </w:pPr>
    <w:rPr>
      <w:color w:val="918585"/>
      <w:sz w:val="20"/>
    </w:rPr>
  </w:style>
  <w:style w:type="paragraph" w:styleId="Heading6">
    <w:name w:val="heading 6"/>
    <w:basedOn w:val="HeadingBase"/>
    <w:next w:val="Normal"/>
    <w:link w:val="Heading6Char"/>
    <w:qFormat/>
    <w:rsid w:val="00C55F14"/>
    <w:pPr>
      <w:spacing w:before="60"/>
      <w:outlineLvl w:val="5"/>
    </w:pPr>
    <w:rPr>
      <w:color w:val="918585"/>
      <w:sz w:val="20"/>
    </w:rPr>
  </w:style>
  <w:style w:type="paragraph" w:styleId="Heading7">
    <w:name w:val="heading 7"/>
    <w:basedOn w:val="Normal"/>
    <w:next w:val="Normal"/>
    <w:link w:val="Heading7Char"/>
    <w:qFormat/>
    <w:rsid w:val="00C55F14"/>
    <w:pPr>
      <w:ind w:left="720"/>
      <w:outlineLvl w:val="6"/>
    </w:pPr>
    <w:rPr>
      <w:i/>
    </w:rPr>
  </w:style>
  <w:style w:type="paragraph" w:styleId="Heading8">
    <w:name w:val="heading 8"/>
    <w:basedOn w:val="Normal"/>
    <w:next w:val="Normal"/>
    <w:link w:val="Heading8Char"/>
    <w:qFormat/>
    <w:rsid w:val="00C55F14"/>
    <w:pPr>
      <w:ind w:left="720"/>
      <w:outlineLvl w:val="7"/>
    </w:pPr>
    <w:rPr>
      <w:i/>
    </w:rPr>
  </w:style>
  <w:style w:type="paragraph" w:styleId="Heading9">
    <w:name w:val="heading 9"/>
    <w:basedOn w:val="Normal"/>
    <w:next w:val="Normal"/>
    <w:link w:val="Heading9Char"/>
    <w:qFormat/>
    <w:rsid w:val="00C55F14"/>
    <w:pPr>
      <w:ind w:left="720"/>
      <w:outlineLvl w:val="8"/>
    </w:pPr>
    <w:rPr>
      <w:i/>
    </w:rPr>
  </w:style>
  <w:style w:type="character" w:default="1" w:styleId="DefaultParagraphFont">
    <w:name w:val="Default Paragraph Font"/>
    <w:uiPriority w:val="1"/>
    <w:unhideWhenUsed/>
    <w:rsid w:val="00C55F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5F14"/>
  </w:style>
  <w:style w:type="character" w:customStyle="1" w:styleId="Heading1Char">
    <w:name w:val="Heading 1 Char"/>
    <w:basedOn w:val="DefaultParagraphFont"/>
    <w:link w:val="Heading1"/>
    <w:rsid w:val="00C55F14"/>
    <w:rPr>
      <w:rFonts w:ascii="Times New Roman" w:eastAsia="Times New Roman" w:hAnsi="Times New Roman" w:cs="Times New Roman"/>
      <w:b/>
      <w:sz w:val="32"/>
      <w:szCs w:val="20"/>
      <w:lang w:eastAsia="en-US"/>
    </w:rPr>
  </w:style>
  <w:style w:type="paragraph" w:styleId="BodyText">
    <w:name w:val="Body Text"/>
    <w:basedOn w:val="Normal"/>
    <w:link w:val="BodyTextChar"/>
    <w:rsid w:val="00C55F1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55F14"/>
    <w:rPr>
      <w:rFonts w:ascii="Times New Roman" w:eastAsia="Times New Roman" w:hAnsi="Times New Roman" w:cs="Times New Roman"/>
      <w:sz w:val="24"/>
      <w:lang w:eastAsia="en-US"/>
    </w:rPr>
  </w:style>
  <w:style w:type="paragraph" w:styleId="ListBullet">
    <w:name w:val="List Bullet"/>
    <w:basedOn w:val="List"/>
    <w:rsid w:val="00C55F14"/>
    <w:pPr>
      <w:numPr>
        <w:numId w:val="12"/>
      </w:numPr>
      <w:tabs>
        <w:tab w:val="clear" w:pos="340"/>
      </w:tabs>
      <w:spacing w:before="40" w:after="40"/>
    </w:pPr>
  </w:style>
  <w:style w:type="character" w:customStyle="1" w:styleId="SpecialBold">
    <w:name w:val="Special Bold"/>
    <w:basedOn w:val="DefaultParagraphFont"/>
    <w:rsid w:val="00C55F14"/>
    <w:rPr>
      <w:b/>
      <w:spacing w:val="0"/>
    </w:rPr>
  </w:style>
  <w:style w:type="paragraph" w:customStyle="1" w:styleId="SuperHeading">
    <w:name w:val="SuperHeading"/>
    <w:basedOn w:val="Normal"/>
    <w:rsid w:val="00C55F14"/>
    <w:pPr>
      <w:spacing w:before="240" w:after="120"/>
      <w:outlineLvl w:val="0"/>
    </w:pPr>
    <w:rPr>
      <w:rFonts w:ascii="Times New Roman" w:hAnsi="Times New Roman"/>
      <w:b/>
      <w:sz w:val="32"/>
    </w:rPr>
  </w:style>
  <w:style w:type="paragraph" w:customStyle="1" w:styleId="AllowPageBreak">
    <w:name w:val="AllowPageBreak"/>
    <w:rsid w:val="00C55F1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55F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5F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5F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5F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5F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5F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55F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55F14"/>
    <w:rPr>
      <w:rFonts w:ascii="Courier New" w:eastAsia="Times New Roman" w:hAnsi="Courier New" w:cs="Times New Roman"/>
      <w:i/>
      <w:szCs w:val="20"/>
      <w:lang w:eastAsia="en-US"/>
    </w:rPr>
  </w:style>
  <w:style w:type="paragraph" w:customStyle="1" w:styleId="HeadingBase">
    <w:name w:val="Heading Base"/>
    <w:rsid w:val="00C55F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5F14"/>
    <w:pPr>
      <w:tabs>
        <w:tab w:val="right" w:leader="dot" w:pos="9072"/>
      </w:tabs>
      <w:ind w:left="567"/>
    </w:pPr>
    <w:rPr>
      <w:szCs w:val="22"/>
    </w:rPr>
  </w:style>
  <w:style w:type="paragraph" w:customStyle="1" w:styleId="TOCBase">
    <w:name w:val="TOC Base"/>
    <w:rsid w:val="00C55F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5F14"/>
    <w:pPr>
      <w:tabs>
        <w:tab w:val="right" w:leader="dot" w:pos="9072"/>
      </w:tabs>
      <w:spacing w:before="40" w:after="40"/>
      <w:ind w:left="284"/>
    </w:pPr>
    <w:rPr>
      <w:rFonts w:ascii="Times New Roman" w:hAnsi="Times New Roman"/>
    </w:rPr>
  </w:style>
  <w:style w:type="paragraph" w:styleId="TOC1">
    <w:name w:val="toc 1"/>
    <w:basedOn w:val="TOCBase"/>
    <w:next w:val="Normal"/>
    <w:rsid w:val="00C55F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55F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5F14"/>
    <w:rPr>
      <w:rFonts w:ascii="Times New Roman" w:eastAsia="Times New Roman" w:hAnsi="Times New Roman" w:cs="Times New Roman"/>
      <w:sz w:val="16"/>
      <w:lang w:eastAsia="en-US"/>
    </w:rPr>
  </w:style>
  <w:style w:type="paragraph" w:styleId="Title">
    <w:name w:val="Title"/>
    <w:basedOn w:val="HeadingBase"/>
    <w:link w:val="TitleChar"/>
    <w:qFormat/>
    <w:rsid w:val="00C55F14"/>
    <w:pPr>
      <w:spacing w:before="5040"/>
      <w:jc w:val="center"/>
    </w:pPr>
    <w:rPr>
      <w:sz w:val="48"/>
      <w:szCs w:val="72"/>
      <w:lang w:val="en-US"/>
    </w:rPr>
  </w:style>
  <w:style w:type="character" w:customStyle="1" w:styleId="TitleChar">
    <w:name w:val="Title Char"/>
    <w:basedOn w:val="DefaultParagraphFont"/>
    <w:link w:val="Title"/>
    <w:rsid w:val="00C55F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5F14"/>
    <w:pPr>
      <w:tabs>
        <w:tab w:val="left" w:pos="3600"/>
        <w:tab w:val="left" w:pos="3958"/>
      </w:tabs>
    </w:pPr>
  </w:style>
  <w:style w:type="paragraph" w:styleId="List">
    <w:name w:val="List"/>
    <w:basedOn w:val="BodyText"/>
    <w:next w:val="BodyText"/>
    <w:rsid w:val="00C55F14"/>
    <w:pPr>
      <w:tabs>
        <w:tab w:val="left" w:pos="340"/>
      </w:tabs>
      <w:spacing w:before="60" w:after="60"/>
      <w:ind w:left="340" w:hanging="340"/>
    </w:pPr>
  </w:style>
  <w:style w:type="paragraph" w:customStyle="1" w:styleId="Note">
    <w:name w:val="Note"/>
    <w:basedOn w:val="BodyText"/>
    <w:rsid w:val="00C55F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5F14"/>
    <w:pPr>
      <w:framePr w:wrap="auto" w:hAnchor="text" w:y="6049"/>
    </w:pPr>
    <w:rPr>
      <w:color w:val="000000"/>
      <w:sz w:val="40"/>
    </w:rPr>
  </w:style>
  <w:style w:type="paragraph" w:customStyle="1" w:styleId="TOCTitle">
    <w:name w:val="TOCTitle"/>
    <w:basedOn w:val="Heading1"/>
    <w:rsid w:val="00C55F14"/>
    <w:pPr>
      <w:spacing w:after="240"/>
      <w:jc w:val="center"/>
      <w:outlineLvl w:val="9"/>
    </w:pPr>
    <w:rPr>
      <w:caps/>
    </w:rPr>
  </w:style>
  <w:style w:type="paragraph" w:customStyle="1" w:styleId="Version">
    <w:name w:val="Version"/>
    <w:rsid w:val="00C55F1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55F14"/>
    <w:pPr>
      <w:numPr>
        <w:numId w:val="13"/>
      </w:numPr>
      <w:tabs>
        <w:tab w:val="clear" w:pos="680"/>
      </w:tabs>
    </w:pPr>
  </w:style>
  <w:style w:type="paragraph" w:styleId="Index1">
    <w:name w:val="index 1"/>
    <w:basedOn w:val="Normal"/>
    <w:next w:val="Normal"/>
    <w:semiHidden/>
    <w:rsid w:val="00C55F14"/>
    <w:pPr>
      <w:keepNext w:val="0"/>
      <w:tabs>
        <w:tab w:val="right" w:pos="4176"/>
      </w:tabs>
      <w:ind w:left="198" w:hanging="198"/>
    </w:pPr>
    <w:rPr>
      <w:rFonts w:ascii="Garamond" w:hAnsi="Garamond"/>
    </w:rPr>
  </w:style>
  <w:style w:type="paragraph" w:styleId="IndexHeading">
    <w:name w:val="index heading"/>
    <w:basedOn w:val="Normal"/>
    <w:next w:val="Index1"/>
    <w:semiHidden/>
    <w:rsid w:val="00C55F14"/>
    <w:pPr>
      <w:spacing w:before="120" w:after="120"/>
    </w:pPr>
    <w:rPr>
      <w:rFonts w:ascii="Arial" w:hAnsi="Arial"/>
      <w:b/>
      <w:color w:val="918585"/>
      <w:sz w:val="24"/>
    </w:rPr>
  </w:style>
  <w:style w:type="paragraph" w:styleId="Header">
    <w:name w:val="header"/>
    <w:basedOn w:val="Normal"/>
    <w:link w:val="HeaderChar"/>
    <w:rsid w:val="00C55F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5F14"/>
    <w:rPr>
      <w:rFonts w:ascii="Times New Roman" w:eastAsia="Times New Roman" w:hAnsi="Times New Roman" w:cs="Times New Roman"/>
      <w:sz w:val="16"/>
      <w:szCs w:val="20"/>
      <w:lang w:val="en-GB" w:eastAsia="en-US"/>
    </w:rPr>
  </w:style>
  <w:style w:type="paragraph" w:customStyle="1" w:styleId="Chapter">
    <w:name w:val="Chapter"/>
    <w:basedOn w:val="Normal"/>
    <w:rsid w:val="00C55F14"/>
    <w:pPr>
      <w:spacing w:before="240"/>
    </w:pPr>
    <w:rPr>
      <w:rFonts w:ascii="Times New Roman" w:hAnsi="Times New Roman"/>
      <w:smallCaps/>
      <w:spacing w:val="80"/>
      <w:sz w:val="28"/>
    </w:rPr>
  </w:style>
  <w:style w:type="paragraph" w:customStyle="1" w:styleId="InChapter">
    <w:name w:val="InChapter"/>
    <w:basedOn w:val="Heading3"/>
    <w:rsid w:val="00C55F14"/>
    <w:pPr>
      <w:spacing w:after="240"/>
      <w:outlineLvl w:val="9"/>
    </w:pPr>
    <w:rPr>
      <w:noProof/>
    </w:rPr>
  </w:style>
  <w:style w:type="paragraph" w:styleId="Index2">
    <w:name w:val="index 2"/>
    <w:basedOn w:val="Normal"/>
    <w:next w:val="Normal"/>
    <w:semiHidden/>
    <w:rsid w:val="00C55F14"/>
    <w:pPr>
      <w:tabs>
        <w:tab w:val="right" w:pos="4176"/>
      </w:tabs>
      <w:ind w:left="568" w:hanging="284"/>
    </w:pPr>
    <w:rPr>
      <w:rFonts w:ascii="Garamond" w:hAnsi="Garamond"/>
    </w:rPr>
  </w:style>
  <w:style w:type="paragraph" w:customStyle="1" w:styleId="Byline">
    <w:name w:val="Byline"/>
    <w:rsid w:val="00C55F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5F14"/>
    <w:pPr>
      <w:tabs>
        <w:tab w:val="clear" w:pos="3600"/>
        <w:tab w:val="clear" w:pos="3958"/>
      </w:tabs>
      <w:jc w:val="right"/>
    </w:pPr>
  </w:style>
  <w:style w:type="character" w:styleId="Emphasis">
    <w:name w:val="Emphasis"/>
    <w:basedOn w:val="DefaultParagraphFont"/>
    <w:qFormat/>
    <w:rsid w:val="00C55F14"/>
    <w:rPr>
      <w:i/>
    </w:rPr>
  </w:style>
  <w:style w:type="paragraph" w:styleId="Caption">
    <w:name w:val="caption"/>
    <w:basedOn w:val="BodyText"/>
    <w:next w:val="Normal"/>
    <w:qFormat/>
    <w:rsid w:val="00C55F14"/>
    <w:pPr>
      <w:framePr w:w="2268" w:hSpace="181" w:vSpace="181" w:wrap="around" w:vAnchor="text" w:hAnchor="page" w:x="1135" w:y="285" w:anchorLock="1"/>
    </w:pPr>
    <w:rPr>
      <w:i/>
    </w:rPr>
  </w:style>
  <w:style w:type="paragraph" w:customStyle="1" w:styleId="MiniTOCTitle">
    <w:name w:val="MiniTOCTitle"/>
    <w:basedOn w:val="Heading4"/>
    <w:rsid w:val="00C55F14"/>
    <w:pPr>
      <w:spacing w:before="240"/>
      <w:outlineLvl w:val="9"/>
    </w:pPr>
    <w:rPr>
      <w:noProof/>
      <w:sz w:val="24"/>
    </w:rPr>
  </w:style>
  <w:style w:type="paragraph" w:customStyle="1" w:styleId="MiniTOCItem">
    <w:name w:val="MiniTOCItem"/>
    <w:basedOn w:val="ListBullet"/>
    <w:rsid w:val="00C55F14"/>
    <w:pPr>
      <w:numPr>
        <w:numId w:val="0"/>
      </w:numPr>
      <w:tabs>
        <w:tab w:val="right" w:leader="dot" w:pos="6521"/>
      </w:tabs>
      <w:spacing w:before="0" w:after="0"/>
    </w:pPr>
  </w:style>
  <w:style w:type="paragraph" w:customStyle="1" w:styleId="TOFTitle">
    <w:name w:val="TOFTitle"/>
    <w:basedOn w:val="TOCTitle"/>
    <w:rsid w:val="00C55F14"/>
  </w:style>
  <w:style w:type="paragraph" w:styleId="TableofFigures">
    <w:name w:val="table of figures"/>
    <w:basedOn w:val="Normal"/>
    <w:next w:val="Normal"/>
    <w:semiHidden/>
    <w:rsid w:val="00C55F14"/>
    <w:pPr>
      <w:tabs>
        <w:tab w:val="right" w:leader="dot" w:pos="9072"/>
      </w:tabs>
      <w:ind w:left="970" w:hanging="403"/>
    </w:pPr>
    <w:rPr>
      <w:rFonts w:ascii="Times New Roman" w:hAnsi="Times New Roman"/>
      <w:b/>
    </w:rPr>
  </w:style>
  <w:style w:type="paragraph" w:styleId="ListNumber">
    <w:name w:val="List Number"/>
    <w:basedOn w:val="List"/>
    <w:rsid w:val="00C55F14"/>
    <w:pPr>
      <w:numPr>
        <w:numId w:val="10"/>
      </w:numPr>
    </w:pPr>
  </w:style>
  <w:style w:type="character" w:customStyle="1" w:styleId="WingdingSymbols">
    <w:name w:val="Wingding Symbols"/>
    <w:rsid w:val="00C55F14"/>
    <w:rPr>
      <w:rFonts w:ascii="Wingdings" w:hAnsi="Wingdings"/>
    </w:rPr>
  </w:style>
  <w:style w:type="paragraph" w:customStyle="1" w:styleId="TableHeading">
    <w:name w:val="Table Heading"/>
    <w:basedOn w:val="HeadingBase"/>
    <w:rsid w:val="00C55F14"/>
    <w:pPr>
      <w:keepLines/>
      <w:pBdr>
        <w:bottom w:val="single" w:sz="6" w:space="1" w:color="918585"/>
      </w:pBdr>
      <w:spacing w:before="240"/>
    </w:pPr>
  </w:style>
  <w:style w:type="character" w:customStyle="1" w:styleId="HotSpot">
    <w:name w:val="HotSpot"/>
    <w:rsid w:val="00C55F14"/>
    <w:rPr>
      <w:color w:val="0033CC"/>
      <w:u w:val="none"/>
    </w:rPr>
  </w:style>
  <w:style w:type="paragraph" w:customStyle="1" w:styleId="BodyTextRight">
    <w:name w:val="Body Text Right"/>
    <w:basedOn w:val="BodyText"/>
    <w:rsid w:val="00C55F14"/>
    <w:pPr>
      <w:spacing w:before="0" w:after="0"/>
      <w:jc w:val="right"/>
    </w:pPr>
  </w:style>
  <w:style w:type="paragraph" w:styleId="Index3">
    <w:name w:val="index 3"/>
    <w:basedOn w:val="ListNumber2"/>
    <w:next w:val="Normal"/>
    <w:semiHidden/>
    <w:rsid w:val="00C55F14"/>
    <w:pPr>
      <w:numPr>
        <w:numId w:val="0"/>
      </w:numPr>
      <w:tabs>
        <w:tab w:val="right" w:leader="dot" w:pos="4176"/>
      </w:tabs>
    </w:pPr>
  </w:style>
  <w:style w:type="paragraph" w:styleId="ListNumber2">
    <w:name w:val="List Number 2"/>
    <w:basedOn w:val="List2"/>
    <w:rsid w:val="00C55F14"/>
    <w:pPr>
      <w:numPr>
        <w:numId w:val="9"/>
      </w:numPr>
      <w:tabs>
        <w:tab w:val="clear" w:pos="1060"/>
      </w:tabs>
    </w:pPr>
  </w:style>
  <w:style w:type="paragraph" w:customStyle="1" w:styleId="MarginNote">
    <w:name w:val="Margin Note"/>
    <w:basedOn w:val="BodyText"/>
    <w:rsid w:val="00C55F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5F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5F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55F14"/>
    <w:rPr>
      <w:sz w:val="32"/>
    </w:rPr>
  </w:style>
  <w:style w:type="paragraph" w:customStyle="1" w:styleId="HeadingProcedure">
    <w:name w:val="Heading Procedure"/>
    <w:basedOn w:val="HeadingBase"/>
    <w:next w:val="Normal"/>
    <w:rsid w:val="00C55F14"/>
    <w:pPr>
      <w:tabs>
        <w:tab w:val="left" w:pos="0"/>
      </w:tabs>
      <w:spacing w:before="120" w:after="60"/>
    </w:pPr>
    <w:rPr>
      <w:i/>
      <w:color w:val="918585"/>
      <w:sz w:val="22"/>
    </w:rPr>
  </w:style>
  <w:style w:type="paragraph" w:customStyle="1" w:styleId="TableBodyText">
    <w:name w:val="Table Body Text"/>
    <w:basedOn w:val="BodyText"/>
    <w:rsid w:val="00C55F14"/>
    <w:pPr>
      <w:spacing w:before="60" w:after="60"/>
    </w:pPr>
  </w:style>
  <w:style w:type="paragraph" w:styleId="ListContinue">
    <w:name w:val="List Continue"/>
    <w:basedOn w:val="List"/>
    <w:rsid w:val="00C55F14"/>
    <w:pPr>
      <w:ind w:firstLine="0"/>
    </w:pPr>
  </w:style>
  <w:style w:type="paragraph" w:customStyle="1" w:styleId="ListNote">
    <w:name w:val="List Note"/>
    <w:basedOn w:val="List"/>
    <w:rsid w:val="00C55F14"/>
    <w:pPr>
      <w:pBdr>
        <w:top w:val="single" w:sz="6" w:space="2" w:color="918585"/>
        <w:bottom w:val="single" w:sz="6" w:space="2" w:color="918585"/>
      </w:pBdr>
      <w:tabs>
        <w:tab w:val="left" w:pos="1021"/>
      </w:tabs>
      <w:ind w:firstLine="0"/>
    </w:pPr>
  </w:style>
  <w:style w:type="paragraph" w:customStyle="1" w:styleId="Warning">
    <w:name w:val="Warning"/>
    <w:basedOn w:val="BodyText"/>
    <w:rsid w:val="00C55F14"/>
    <w:pPr>
      <w:shd w:val="clear" w:color="auto" w:fill="D9D9D9"/>
      <w:tabs>
        <w:tab w:val="left" w:pos="992"/>
      </w:tabs>
      <w:ind w:left="119" w:right="119"/>
    </w:pPr>
    <w:rPr>
      <w:sz w:val="20"/>
    </w:rPr>
  </w:style>
  <w:style w:type="paragraph" w:customStyle="1" w:styleId="MarginIcons">
    <w:name w:val="Margin Icons"/>
    <w:basedOn w:val="BodyText"/>
    <w:rsid w:val="00C55F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5F14"/>
    <w:rPr>
      <w:rFonts w:ascii="Courier New" w:hAnsi="Courier New"/>
    </w:rPr>
  </w:style>
  <w:style w:type="paragraph" w:customStyle="1" w:styleId="NoteBullet">
    <w:name w:val="Note Bullet"/>
    <w:basedOn w:val="Note"/>
    <w:rsid w:val="00C55F14"/>
    <w:pPr>
      <w:tabs>
        <w:tab w:val="clear" w:pos="680"/>
      </w:tabs>
      <w:spacing w:before="60" w:after="60"/>
    </w:pPr>
  </w:style>
  <w:style w:type="paragraph" w:customStyle="1" w:styleId="SubHeading2">
    <w:name w:val="SubHeading2"/>
    <w:basedOn w:val="HeadingBase"/>
    <w:rsid w:val="00C55F14"/>
    <w:pPr>
      <w:spacing w:before="240" w:after="60"/>
    </w:pPr>
    <w:rPr>
      <w:sz w:val="20"/>
    </w:rPr>
  </w:style>
  <w:style w:type="paragraph" w:customStyle="1" w:styleId="SubHeading1">
    <w:name w:val="SubHeading1"/>
    <w:basedOn w:val="HeadingBase"/>
    <w:rsid w:val="00C55F14"/>
    <w:pPr>
      <w:spacing w:before="240" w:after="60"/>
    </w:pPr>
    <w:rPr>
      <w:color w:val="918585"/>
      <w:sz w:val="22"/>
    </w:rPr>
  </w:style>
  <w:style w:type="paragraph" w:customStyle="1" w:styleId="SideHeading">
    <w:name w:val="Side Heading"/>
    <w:basedOn w:val="HeadingBase"/>
    <w:rsid w:val="00C55F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5F14"/>
    <w:pPr>
      <w:tabs>
        <w:tab w:val="num" w:pos="360"/>
      </w:tabs>
    </w:pPr>
  </w:style>
  <w:style w:type="paragraph" w:styleId="PlainText">
    <w:name w:val="Plain Text"/>
    <w:basedOn w:val="Normal"/>
    <w:link w:val="PlainTextChar"/>
    <w:rsid w:val="00C55F14"/>
    <w:rPr>
      <w:sz w:val="20"/>
    </w:rPr>
  </w:style>
  <w:style w:type="character" w:customStyle="1" w:styleId="PlainTextChar">
    <w:name w:val="Plain Text Char"/>
    <w:basedOn w:val="DefaultParagraphFont"/>
    <w:link w:val="PlainText"/>
    <w:rsid w:val="00C55F14"/>
    <w:rPr>
      <w:rFonts w:ascii="Courier New" w:eastAsia="Times New Roman" w:hAnsi="Courier New" w:cs="Times New Roman"/>
      <w:sz w:val="20"/>
      <w:szCs w:val="20"/>
      <w:lang w:eastAsia="en-US"/>
    </w:rPr>
  </w:style>
  <w:style w:type="character" w:customStyle="1" w:styleId="MenuOption">
    <w:name w:val="Menu Option"/>
    <w:basedOn w:val="DefaultParagraphFont"/>
    <w:rsid w:val="00C55F14"/>
    <w:rPr>
      <w:b/>
      <w:smallCaps/>
    </w:rPr>
  </w:style>
  <w:style w:type="paragraph" w:customStyle="1" w:styleId="TableListNumber">
    <w:name w:val="Table List Number"/>
    <w:basedOn w:val="ListNumber"/>
    <w:rsid w:val="00C55F14"/>
    <w:pPr>
      <w:numPr>
        <w:numId w:val="0"/>
      </w:numPr>
    </w:pPr>
  </w:style>
  <w:style w:type="paragraph" w:styleId="TOC4">
    <w:name w:val="toc 4"/>
    <w:basedOn w:val="TOCBase"/>
    <w:next w:val="Normal"/>
    <w:semiHidden/>
    <w:rsid w:val="00C55F14"/>
    <w:pPr>
      <w:tabs>
        <w:tab w:val="right" w:leader="dot" w:pos="9071"/>
      </w:tabs>
      <w:ind w:left="1701"/>
    </w:pPr>
  </w:style>
  <w:style w:type="paragraph" w:customStyle="1" w:styleId="ListAlpha">
    <w:name w:val="List Alpha"/>
    <w:basedOn w:val="List"/>
    <w:rsid w:val="00C55F14"/>
    <w:pPr>
      <w:numPr>
        <w:numId w:val="8"/>
      </w:numPr>
    </w:pPr>
  </w:style>
  <w:style w:type="paragraph" w:customStyle="1" w:styleId="ListAlpha2">
    <w:name w:val="List Alpha 2"/>
    <w:basedOn w:val="List2"/>
    <w:rsid w:val="00C55F14"/>
    <w:pPr>
      <w:numPr>
        <w:numId w:val="7"/>
      </w:numPr>
    </w:pPr>
  </w:style>
  <w:style w:type="paragraph" w:styleId="List2">
    <w:name w:val="List 2"/>
    <w:basedOn w:val="BodyText"/>
    <w:rsid w:val="00C55F14"/>
    <w:pPr>
      <w:tabs>
        <w:tab w:val="left" w:pos="680"/>
      </w:tabs>
      <w:spacing w:before="60" w:after="60"/>
      <w:ind w:left="680" w:hanging="340"/>
    </w:pPr>
  </w:style>
  <w:style w:type="paragraph" w:styleId="List3">
    <w:name w:val="List 3"/>
    <w:basedOn w:val="BodyText"/>
    <w:rsid w:val="00C55F14"/>
    <w:pPr>
      <w:tabs>
        <w:tab w:val="left" w:pos="1021"/>
      </w:tabs>
      <w:spacing w:before="60" w:after="60"/>
      <w:ind w:left="1020" w:hanging="340"/>
    </w:pPr>
  </w:style>
  <w:style w:type="paragraph" w:styleId="List4">
    <w:name w:val="List 4"/>
    <w:basedOn w:val="BodyText"/>
    <w:rsid w:val="00C55F14"/>
    <w:pPr>
      <w:tabs>
        <w:tab w:val="left" w:pos="1361"/>
      </w:tabs>
      <w:spacing w:before="60" w:after="60"/>
      <w:ind w:left="1361" w:hanging="340"/>
    </w:pPr>
  </w:style>
  <w:style w:type="paragraph" w:styleId="List5">
    <w:name w:val="List 5"/>
    <w:basedOn w:val="BodyText"/>
    <w:rsid w:val="00C55F14"/>
    <w:pPr>
      <w:tabs>
        <w:tab w:val="left" w:pos="1701"/>
      </w:tabs>
      <w:spacing w:before="60" w:after="60"/>
      <w:ind w:left="1701" w:hanging="340"/>
    </w:pPr>
  </w:style>
  <w:style w:type="paragraph" w:styleId="ListBullet3">
    <w:name w:val="List Bullet 3"/>
    <w:basedOn w:val="List3"/>
    <w:rsid w:val="00C55F14"/>
    <w:pPr>
      <w:numPr>
        <w:numId w:val="14"/>
      </w:numPr>
      <w:tabs>
        <w:tab w:val="clear" w:pos="1021"/>
      </w:tabs>
      <w:ind w:left="1037" w:hanging="357"/>
    </w:pPr>
  </w:style>
  <w:style w:type="paragraph" w:styleId="ListBullet4">
    <w:name w:val="List Bullet 4"/>
    <w:basedOn w:val="List4"/>
    <w:rsid w:val="00C55F14"/>
    <w:pPr>
      <w:numPr>
        <w:numId w:val="2"/>
      </w:numPr>
      <w:tabs>
        <w:tab w:val="clear" w:pos="1361"/>
      </w:tabs>
    </w:pPr>
  </w:style>
  <w:style w:type="paragraph" w:styleId="ListBullet5">
    <w:name w:val="List Bullet 5"/>
    <w:basedOn w:val="List5"/>
    <w:rsid w:val="00C55F14"/>
    <w:pPr>
      <w:numPr>
        <w:numId w:val="3"/>
      </w:numPr>
    </w:pPr>
  </w:style>
  <w:style w:type="paragraph" w:styleId="ListContinue2">
    <w:name w:val="List Continue 2"/>
    <w:basedOn w:val="List2"/>
    <w:rsid w:val="00C55F14"/>
    <w:pPr>
      <w:ind w:firstLine="0"/>
    </w:pPr>
  </w:style>
  <w:style w:type="paragraph" w:styleId="ListContinue3">
    <w:name w:val="List Continue 3"/>
    <w:basedOn w:val="List3"/>
    <w:rsid w:val="00C55F14"/>
    <w:pPr>
      <w:ind w:left="1021" w:firstLine="0"/>
    </w:pPr>
  </w:style>
  <w:style w:type="paragraph" w:styleId="ListContinue4">
    <w:name w:val="List Continue 4"/>
    <w:basedOn w:val="List4"/>
    <w:rsid w:val="00C55F14"/>
    <w:pPr>
      <w:ind w:firstLine="0"/>
    </w:pPr>
  </w:style>
  <w:style w:type="paragraph" w:styleId="ListContinue5">
    <w:name w:val="List Continue 5"/>
    <w:basedOn w:val="List5"/>
    <w:rsid w:val="00C55F14"/>
    <w:pPr>
      <w:ind w:firstLine="0"/>
    </w:pPr>
  </w:style>
  <w:style w:type="paragraph" w:styleId="ListNumber3">
    <w:name w:val="List Number 3"/>
    <w:basedOn w:val="List3"/>
    <w:rsid w:val="00C55F14"/>
    <w:pPr>
      <w:numPr>
        <w:numId w:val="4"/>
      </w:numPr>
    </w:pPr>
  </w:style>
  <w:style w:type="paragraph" w:styleId="ListNumber4">
    <w:name w:val="List Number 4"/>
    <w:basedOn w:val="List4"/>
    <w:rsid w:val="00C55F14"/>
    <w:pPr>
      <w:numPr>
        <w:numId w:val="5"/>
      </w:numPr>
    </w:pPr>
  </w:style>
  <w:style w:type="paragraph" w:styleId="ListNumber5">
    <w:name w:val="List Number 5"/>
    <w:basedOn w:val="List5"/>
    <w:rsid w:val="00C55F14"/>
    <w:pPr>
      <w:numPr>
        <w:numId w:val="6"/>
      </w:numPr>
    </w:pPr>
  </w:style>
  <w:style w:type="paragraph" w:styleId="BlockText">
    <w:name w:val="Block Text"/>
    <w:basedOn w:val="Normal"/>
    <w:rsid w:val="00C55F14"/>
    <w:pPr>
      <w:spacing w:after="120"/>
      <w:ind w:left="1440" w:right="1440"/>
    </w:pPr>
  </w:style>
  <w:style w:type="character" w:customStyle="1" w:styleId="Subscript">
    <w:name w:val="Subscript"/>
    <w:basedOn w:val="DefaultParagraphFont"/>
    <w:rsid w:val="00C55F14"/>
    <w:rPr>
      <w:sz w:val="16"/>
      <w:vertAlign w:val="subscript"/>
    </w:rPr>
  </w:style>
  <w:style w:type="character" w:customStyle="1" w:styleId="Superscript">
    <w:name w:val="Superscript"/>
    <w:basedOn w:val="DefaultParagraphFont"/>
    <w:rsid w:val="00C55F14"/>
    <w:rPr>
      <w:sz w:val="16"/>
      <w:vertAlign w:val="superscript"/>
    </w:rPr>
  </w:style>
  <w:style w:type="character" w:customStyle="1" w:styleId="Symbols">
    <w:name w:val="Symbols"/>
    <w:basedOn w:val="DefaultParagraphFont"/>
    <w:rsid w:val="00C55F14"/>
    <w:rPr>
      <w:rFonts w:ascii="Symbol" w:hAnsi="Symbol"/>
    </w:rPr>
  </w:style>
  <w:style w:type="character" w:customStyle="1" w:styleId="MenuOptions">
    <w:name w:val="Menu Options"/>
    <w:basedOn w:val="DefaultParagraphFont"/>
    <w:rsid w:val="00C55F14"/>
    <w:rPr>
      <w:rFonts w:ascii="Arial Narrow" w:hAnsi="Arial Narrow"/>
      <w:smallCaps/>
    </w:rPr>
  </w:style>
  <w:style w:type="character" w:customStyle="1" w:styleId="Buttons">
    <w:name w:val="Buttons"/>
    <w:basedOn w:val="DefaultParagraphFont"/>
    <w:rsid w:val="00C55F14"/>
    <w:rPr>
      <w:b/>
    </w:rPr>
  </w:style>
  <w:style w:type="character" w:customStyle="1" w:styleId="Underlined">
    <w:name w:val="Underlined"/>
    <w:basedOn w:val="DefaultParagraphFont"/>
    <w:rsid w:val="00C55F14"/>
    <w:rPr>
      <w:u w:val="single"/>
    </w:rPr>
  </w:style>
  <w:style w:type="paragraph" w:customStyle="1" w:styleId="TableBodyTextRight">
    <w:name w:val="Table Body Text Right"/>
    <w:basedOn w:val="TableBodyText"/>
    <w:rsid w:val="00C55F14"/>
    <w:pPr>
      <w:widowControl w:val="0"/>
      <w:autoSpaceDE w:val="0"/>
      <w:autoSpaceDN w:val="0"/>
      <w:adjustRightInd w:val="0"/>
      <w:jc w:val="right"/>
    </w:pPr>
    <w:rPr>
      <w:rFonts w:cs="Arial"/>
      <w:szCs w:val="18"/>
    </w:rPr>
  </w:style>
  <w:style w:type="paragraph" w:customStyle="1" w:styleId="CopyrightText">
    <w:name w:val="Copyright Text"/>
    <w:basedOn w:val="BodyText"/>
    <w:rsid w:val="00C55F14"/>
    <w:rPr>
      <w:sz w:val="18"/>
    </w:rPr>
  </w:style>
  <w:style w:type="paragraph" w:customStyle="1" w:styleId="BodySmallRight">
    <w:name w:val="Body Small Right"/>
    <w:basedOn w:val="BodyTextRight"/>
    <w:rsid w:val="00C55F14"/>
    <w:rPr>
      <w:sz w:val="18"/>
      <w:szCs w:val="18"/>
    </w:rPr>
  </w:style>
  <w:style w:type="paragraph" w:customStyle="1" w:styleId="MarginEdition">
    <w:name w:val="Margin Edition"/>
    <w:basedOn w:val="MarginNote"/>
    <w:rsid w:val="00C55F14"/>
    <w:pPr>
      <w:spacing w:before="0" w:after="0"/>
    </w:pPr>
    <w:rPr>
      <w:rFonts w:ascii="Times New Roman" w:hAnsi="Times New Roman"/>
      <w:color w:val="999999"/>
    </w:rPr>
  </w:style>
  <w:style w:type="paragraph" w:customStyle="1" w:styleId="Spacer">
    <w:name w:val="Spacer"/>
    <w:basedOn w:val="Normal"/>
    <w:rsid w:val="00C55F14"/>
    <w:rPr>
      <w:sz w:val="2"/>
      <w:szCs w:val="2"/>
    </w:rPr>
  </w:style>
  <w:style w:type="character" w:customStyle="1" w:styleId="Small">
    <w:name w:val="Small"/>
    <w:basedOn w:val="DefaultParagraphFont"/>
    <w:rsid w:val="00C55F14"/>
    <w:rPr>
      <w:sz w:val="16"/>
    </w:rPr>
  </w:style>
  <w:style w:type="paragraph" w:customStyle="1" w:styleId="WideTable">
    <w:name w:val="Wide Table"/>
    <w:basedOn w:val="Normal"/>
    <w:rsid w:val="00C55F14"/>
    <w:pPr>
      <w:ind w:left="-1418"/>
    </w:pPr>
    <w:rPr>
      <w:sz w:val="2"/>
      <w:szCs w:val="2"/>
    </w:rPr>
  </w:style>
  <w:style w:type="character" w:styleId="PageNumber">
    <w:name w:val="page number"/>
    <w:basedOn w:val="DefaultParagraphFont"/>
    <w:rsid w:val="00C55F14"/>
  </w:style>
  <w:style w:type="paragraph" w:styleId="Quote">
    <w:name w:val="Quote"/>
    <w:basedOn w:val="Heading1"/>
    <w:link w:val="QuoteChar"/>
    <w:qFormat/>
    <w:rsid w:val="00C55F14"/>
    <w:rPr>
      <w:b w:val="0"/>
      <w:sz w:val="72"/>
      <w:szCs w:val="72"/>
      <w:lang w:val="en-NZ"/>
    </w:rPr>
  </w:style>
  <w:style w:type="character" w:customStyle="1" w:styleId="QuoteChar">
    <w:name w:val="Quote Char"/>
    <w:basedOn w:val="DefaultParagraphFont"/>
    <w:link w:val="Quote"/>
    <w:rsid w:val="00C55F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5F14"/>
    <w:pPr>
      <w:pageBreakBefore/>
    </w:pPr>
  </w:style>
  <w:style w:type="paragraph" w:customStyle="1" w:styleId="Border">
    <w:name w:val="Border"/>
    <w:basedOn w:val="Normal"/>
    <w:qFormat/>
    <w:rsid w:val="00C55F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5F14"/>
    <w:rPr>
      <w:b/>
      <w:bCs/>
      <w:i/>
      <w:iCs/>
      <w:color w:val="auto"/>
    </w:rPr>
  </w:style>
  <w:style w:type="paragraph" w:styleId="IntenseQuote">
    <w:name w:val="Intense Quote"/>
    <w:basedOn w:val="Normal"/>
    <w:next w:val="Normal"/>
    <w:link w:val="IntenseQuoteChar"/>
    <w:uiPriority w:val="30"/>
    <w:qFormat/>
    <w:rsid w:val="00C55F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5F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55F14"/>
    <w:rPr>
      <w:smallCaps/>
      <w:color w:val="auto"/>
      <w:u w:val="single"/>
    </w:rPr>
  </w:style>
  <w:style w:type="character" w:styleId="IntenseReference">
    <w:name w:val="Intense Reference"/>
    <w:basedOn w:val="DefaultParagraphFont"/>
    <w:uiPriority w:val="32"/>
    <w:qFormat/>
    <w:rsid w:val="00C55F14"/>
    <w:rPr>
      <w:b/>
      <w:bCs/>
      <w:smallCaps/>
      <w:color w:val="auto"/>
      <w:spacing w:val="5"/>
      <w:u w:val="single"/>
    </w:rPr>
  </w:style>
  <w:style w:type="paragraph" w:customStyle="1" w:styleId="2ColumnHeading">
    <w:name w:val="2Column Heading"/>
    <w:basedOn w:val="BodyText"/>
    <w:qFormat/>
    <w:rsid w:val="00C55F14"/>
    <w:pPr>
      <w:spacing w:after="60"/>
      <w:ind w:left="-2268"/>
    </w:pPr>
    <w:rPr>
      <w:b/>
    </w:rPr>
  </w:style>
  <w:style w:type="paragraph" w:customStyle="1" w:styleId="Heading1TOC">
    <w:name w:val="Heading1 TOC"/>
    <w:basedOn w:val="Normal"/>
    <w:qFormat/>
    <w:rsid w:val="00C55F14"/>
    <w:pPr>
      <w:spacing w:before="240" w:after="120"/>
    </w:pPr>
    <w:rPr>
      <w:rFonts w:ascii="Times New Roman" w:hAnsi="Times New Roman"/>
      <w:b/>
      <w:sz w:val="32"/>
    </w:rPr>
  </w:style>
  <w:style w:type="paragraph" w:customStyle="1" w:styleId="Heading2TOC">
    <w:name w:val="Heading2 TOC"/>
    <w:basedOn w:val="Normal"/>
    <w:qFormat/>
    <w:rsid w:val="00C55F14"/>
    <w:pPr>
      <w:spacing w:before="240" w:after="60"/>
    </w:pPr>
    <w:rPr>
      <w:rFonts w:ascii="Times New Roman" w:hAnsi="Times New Roman"/>
      <w:b/>
      <w:sz w:val="28"/>
    </w:rPr>
  </w:style>
  <w:style w:type="character" w:customStyle="1" w:styleId="Underline">
    <w:name w:val="Underline"/>
    <w:basedOn w:val="DefaultParagraphFont"/>
    <w:qFormat/>
    <w:rsid w:val="00C55F14"/>
    <w:rPr>
      <w:u w:val="single"/>
    </w:rPr>
  </w:style>
  <w:style w:type="character" w:customStyle="1" w:styleId="BoldandItalics">
    <w:name w:val="Bold and Italics"/>
    <w:qFormat/>
    <w:rsid w:val="00C55F14"/>
    <w:rPr>
      <w:b/>
      <w:i/>
      <w:u w:val="none"/>
    </w:rPr>
  </w:style>
  <w:style w:type="paragraph" w:styleId="BalloonText">
    <w:name w:val="Balloon Text"/>
    <w:basedOn w:val="Normal"/>
    <w:link w:val="BalloonTextChar"/>
    <w:rsid w:val="00C55F14"/>
    <w:rPr>
      <w:rFonts w:ascii="Tahoma" w:hAnsi="Tahoma" w:cs="Tahoma"/>
      <w:sz w:val="16"/>
      <w:szCs w:val="16"/>
    </w:rPr>
  </w:style>
  <w:style w:type="character" w:customStyle="1" w:styleId="BalloonTextChar">
    <w:name w:val="Balloon Text Char"/>
    <w:basedOn w:val="DefaultParagraphFont"/>
    <w:link w:val="BalloonText"/>
    <w:rsid w:val="00C55F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55F1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55F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55F14"/>
    <w:rPr>
      <w:b/>
      <w:color w:val="660033"/>
      <w:spacing w:val="0"/>
    </w:rPr>
  </w:style>
  <w:style w:type="paragraph" w:customStyle="1" w:styleId="Nameditemlist">
    <w:name w:val="Named item list"/>
    <w:basedOn w:val="BodyText"/>
    <w:qFormat/>
    <w:rsid w:val="00C55F1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953</Words>
  <Characters>5903</Characters>
  <Application>Microsoft Office Word</Application>
  <DocSecurity>0</DocSecurity>
  <Lines>272</Lines>
  <Paragraphs>159</Paragraphs>
  <ScaleCrop>false</ScaleCrop>
  <Company>Author-it Software Corporation Ltd.</Company>
  <LinksUpToDate>false</LinksUpToDate>
  <CharactersWithSpaces>6759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PMC552005 Process greenware/green products</dc:title>
  <dc:subject>Approved</dc:subject>
  <dc:creator>Manufacturing Skills Australia</dc:creator>
  <cp:keywords>Release: 1</cp:keywords>
  <dc:description>Review Date: 12 April 2008</dc:description>
  <cp:lastModifiedBy>TPCMS</cp:lastModifiedBy>
  <cp:revision>3</cp:revision>
  <dcterms:created xsi:type="dcterms:W3CDTF">2016-06-22T08:58:00Z</dcterms:created>
  <dcterms:modified xsi:type="dcterms:W3CDTF">2016-06-22T08:58:00Z</dcterms:modified>
</cp:coreProperties>
</file>