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58B" w:rsidP="006A458B">
      <w:pPr>
        <w:pStyle w:val="Title"/>
      </w:pPr>
      <w:r>
        <w:fldChar w:fldCharType="begin"/>
      </w:r>
      <w:r>
        <w:instrText xml:space="preserve"> TITLE   \* MERGEFORMAT </w:instrText>
      </w:r>
      <w:r>
        <w:fldChar w:fldCharType="separate"/>
      </w:r>
      <w:r>
        <w:t>PMBWELD304 Design polyethylene (non-pressure) drainage pipelines</w:t>
      </w:r>
      <w:r>
        <w:fldChar w:fldCharType="end"/>
      </w:r>
    </w:p>
    <w:p w:rsidR="006A458B" w:rsidP="006A458B">
      <w:pPr>
        <w:pStyle w:val="Version"/>
        <w:sectPr w:rsidSect="00D474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476" w:rsidP="00D47476">
      <w:pPr>
        <w:pStyle w:val="SuperHeading"/>
      </w:pPr>
      <w:r w:rsidRPr="00D47476">
        <w:t>PMBWELD304 Design polyethylene (non-pressure) drainage pipelines</w:t>
      </w:r>
    </w:p>
    <w:p w:rsidR="00000000" w:rsidRPr="00D47476" w:rsidP="00D47476">
      <w:pPr>
        <w:pStyle w:val="Heading1"/>
      </w:pPr>
      <w:bookmarkStart w:id="1" w:name="O_927823"/>
      <w:bookmarkEnd w:id="1"/>
      <w:r w:rsidRPr="00D47476">
        <w:t>Modification History</w:t>
      </w:r>
    </w:p>
    <w:p w:rsidR="00000000" w:rsidRPr="00D47476" w:rsidP="006A458B">
      <w:pPr>
        <w:pStyle w:val="BodyText"/>
      </w:pPr>
      <w:r w:rsidRPr="00D47476">
        <w:t>Release 1. Supersedes and is equivalent to PMBWELD304B Design polyethylene (non-pressure) drainage pipelines</w:t>
      </w:r>
    </w:p>
    <w:p w:rsidR="00000000" w:rsidRPr="00D47476" w:rsidP="00D47476">
      <w:pPr>
        <w:pStyle w:val="Heading1"/>
      </w:pPr>
      <w:bookmarkStart w:id="2" w:name="O_927831"/>
      <w:bookmarkEnd w:id="2"/>
      <w:r w:rsidRPr="00D47476">
        <w:t>Application</w:t>
      </w:r>
    </w:p>
    <w:p w:rsidR="00000000" w:rsidRPr="00D47476" w:rsidP="006A458B">
      <w:pPr>
        <w:pStyle w:val="BodyText"/>
      </w:pPr>
      <w:r w:rsidRPr="00D47476">
        <w:t>This unit of competency covers the skills and knowledge required to design polyethylene (PE) plastic non-pressure drainage pipes and pipelines under industrial conditions in the field. Pipelines may be used for drainage, waste transmission and vent install</w:t>
      </w:r>
      <w:r w:rsidRPr="00D47476">
        <w:t>ations above and below ground.</w:t>
      </w:r>
    </w:p>
    <w:p w:rsidR="00000000" w:rsidRPr="00D47476" w:rsidP="006A458B">
      <w:pPr>
        <w:pStyle w:val="BodyText"/>
      </w:pPr>
      <w:r w:rsidRPr="00D47476">
        <w:t>This unit of competency applies to experienced operators who are required to select suitable materials, components and designs for specific non-pressure applications of the polyethylene drainage pipes and pipelines to qualit</w:t>
      </w:r>
      <w:r w:rsidRPr="00D47476">
        <w:t>y assurance requirements, including specifying appropriate testing and commissioning procedures.</w:t>
      </w:r>
    </w:p>
    <w:p w:rsidR="00000000" w:rsidRPr="00D47476" w:rsidP="006A458B">
      <w:pPr>
        <w:pStyle w:val="BodyText"/>
      </w:pPr>
      <w:r w:rsidRPr="00D47476">
        <w:t>This unit of competency applies to an experienced operator demonstrating theoretical and technical knowledge and well developed skills in situations that requ</w:t>
      </w:r>
      <w:r w:rsidRPr="00D47476">
        <w:t>ire some discretion and judgement. The operator may work alone or as a member of a team or group and will work in liaison with other shift team members, team leader and supervisor, as appropriate.</w:t>
      </w:r>
    </w:p>
    <w:p w:rsidR="00000000" w:rsidRPr="00D47476" w:rsidP="006A458B">
      <w:pPr>
        <w:pStyle w:val="BodyText"/>
      </w:pPr>
      <w:r w:rsidRPr="00D47476">
        <w:t>No licensing, legislative or certification requirements ap</w:t>
      </w:r>
      <w:r w:rsidRPr="00D47476">
        <w:t>ply to this unit at the time of publication.</w:t>
      </w:r>
    </w:p>
    <w:p w:rsidR="00000000" w:rsidRPr="00D47476" w:rsidP="00D47476">
      <w:pPr>
        <w:pStyle w:val="Heading1"/>
      </w:pPr>
      <w:bookmarkStart w:id="3" w:name="O_927830"/>
      <w:bookmarkEnd w:id="3"/>
      <w:r w:rsidRPr="00D47476">
        <w:t>Pre-requisite Unit</w:t>
      </w:r>
    </w:p>
    <w:tbl>
      <w:tblPr>
        <w:tblW w:w="0" w:type="auto"/>
        <w:tblCellMar>
          <w:left w:w="62" w:type="dxa"/>
          <w:right w:w="62" w:type="dxa"/>
        </w:tblCellMar>
        <w:tblLook w:val="0000"/>
      </w:tblPr>
      <w:tblGrid>
        <w:gridCol w:w="2163"/>
        <w:gridCol w:w="7033"/>
      </w:tblGrid>
      <w:tr w:rsidTr="006A45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PMBWELD303</w:t>
            </w:r>
          </w:p>
        </w:tc>
        <w:tc>
          <w:tcPr>
            <w:tcW w:w="0" w:type="auto"/>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Install polyethylene (non pressure) drainage pipelines</w:t>
            </w:r>
          </w:p>
        </w:tc>
      </w:tr>
    </w:tbl>
    <w:p w:rsidR="00000000" w:rsidRPr="00D47476" w:rsidP="00D47476">
      <w:pPr>
        <w:pStyle w:val="BodyText"/>
      </w:pPr>
    </w:p>
    <w:p w:rsidR="00000000" w:rsidRPr="00D47476" w:rsidP="00D47476">
      <w:pPr>
        <w:pStyle w:val="AllowPageBreak"/>
      </w:pPr>
    </w:p>
    <w:p w:rsidR="00000000" w:rsidRPr="00D47476" w:rsidP="00D47476">
      <w:pPr>
        <w:pStyle w:val="Heading1"/>
      </w:pPr>
      <w:bookmarkStart w:id="4" w:name="O_927829"/>
      <w:bookmarkEnd w:id="4"/>
      <w:r w:rsidRPr="00D47476">
        <w:t>Competency Field</w:t>
      </w:r>
    </w:p>
    <w:p w:rsidR="00000000" w:rsidRPr="00D47476" w:rsidP="006A458B">
      <w:pPr>
        <w:pStyle w:val="BodyText"/>
      </w:pPr>
      <w:r w:rsidRPr="00D47476">
        <w:t>Welding</w:t>
      </w:r>
    </w:p>
    <w:p w:rsidR="00000000" w:rsidRPr="00D47476" w:rsidP="00D47476">
      <w:pPr>
        <w:pStyle w:val="Heading1"/>
      </w:pPr>
      <w:bookmarkStart w:id="5" w:name="O_927828"/>
      <w:bookmarkEnd w:id="5"/>
      <w:r w:rsidRPr="00D47476">
        <w:t>Unit Sector</w:t>
      </w:r>
    </w:p>
    <w:p w:rsidR="00000000" w:rsidRPr="00D47476" w:rsidP="006A458B">
      <w:pPr>
        <w:pStyle w:val="BodyText"/>
      </w:pPr>
      <w:r w:rsidRPr="00D47476">
        <w:t>Not applicable</w:t>
      </w:r>
    </w:p>
    <w:p w:rsidR="00000000" w:rsidRPr="00D47476" w:rsidP="00D47476">
      <w:pPr>
        <w:pStyle w:val="Heading1"/>
      </w:pPr>
      <w:bookmarkStart w:id="6" w:name="O_927827"/>
      <w:bookmarkEnd w:id="6"/>
      <w:r w:rsidRPr="00D4747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747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Performance criteria describe the performance needed to demonstrate achievement of the element.</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1</w:t>
            </w:r>
          </w:p>
        </w:tc>
        <w:tc>
          <w:tcPr>
            <w:tcW w:w="1962" w:type="dxa"/>
            <w:vMerge w:val="restart"/>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rPr>
                <w:rStyle w:val="SpecialBold"/>
              </w:rPr>
              <w:t>Identify PE pipe materials as being suitable for specific non-pressure drainage</w:t>
            </w:r>
            <w:r w:rsidRPr="00D47476">
              <w:rPr>
                <w:rStyle w:val="SpecialBold"/>
              </w:rPr>
              <w:t xml:space="preserve"> applications</w:t>
            </w: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1.1</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materials as PE grades from national standards, job specifications and work site instructions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1.2</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Determine PE materials properties from national standards and material data sheets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1.3</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job needs from work site instructions and specifications</w:t>
            </w:r>
          </w:p>
        </w:tc>
      </w:tr>
      <w:tr w:rsidTr="00D474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7476">
            <w:pPr>
              <w:pStyle w:val="BodyText"/>
              <w:rPr>
                <w:lang w:val="en-NZ"/>
              </w:rPr>
            </w:pP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2</w:t>
            </w:r>
          </w:p>
        </w:tc>
        <w:tc>
          <w:tcPr>
            <w:tcW w:w="1962" w:type="dxa"/>
            <w:vMerge w:val="restart"/>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rPr>
                <w:rStyle w:val="SpecialBold"/>
              </w:rPr>
              <w:t>Determine appropriate products from national standards</w:t>
            </w: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2.1</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material options from national standards, supplier data sheets, and government codes and regulations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2.2</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performance limitations of material options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2.3</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pipe and component options from national standards, supplier data sheets, and government codes and regulations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2.4</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performance limitations pipe and component options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2.5</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suitable jointing methods for pipes and fittings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2.6</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operational conditions</w:t>
            </w:r>
          </w:p>
        </w:tc>
      </w:tr>
      <w:tr w:rsidTr="00D474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7476">
            <w:pPr>
              <w:pStyle w:val="BodyText"/>
              <w:rPr>
                <w:lang w:val="en-NZ"/>
              </w:rPr>
            </w:pP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3</w:t>
            </w:r>
          </w:p>
        </w:tc>
        <w:tc>
          <w:tcPr>
            <w:tcW w:w="1962" w:type="dxa"/>
            <w:vMerge w:val="restart"/>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rPr>
                <w:rStyle w:val="SpecialBold"/>
              </w:rPr>
              <w:t>Determine pipeline requirements</w:t>
            </w: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3.1</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length of pipe required</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3.2</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fittings and number of fittings required</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3.3</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Select pipe and components considering specific job needs and product properties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3.4</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required jointing equipment or materials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3.5</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Prepare field operational sheets</w:t>
            </w:r>
          </w:p>
        </w:tc>
      </w:tr>
      <w:tr w:rsidTr="00D474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7476">
            <w:pPr>
              <w:pStyle w:val="BodyText"/>
              <w:rPr>
                <w:lang w:val="en-NZ"/>
              </w:rPr>
            </w:pP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4</w:t>
            </w:r>
          </w:p>
        </w:tc>
        <w:tc>
          <w:tcPr>
            <w:tcW w:w="1962" w:type="dxa"/>
            <w:vMerge w:val="restart"/>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rPr>
                <w:rStyle w:val="SpecialBold"/>
              </w:rPr>
              <w:t xml:space="preserve">Determine </w:t>
            </w:r>
            <w:r w:rsidRPr="00D47476">
              <w:rPr>
                <w:rStyle w:val="SpecialBold"/>
              </w:rPr>
              <w:t>appropriate testing and commissioning procedures</w:t>
            </w: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4.1</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Determine specific installation test requirements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4.2</w:t>
            </w:r>
          </w:p>
        </w:tc>
        <w:tc>
          <w:tcPr>
            <w:tcW w:w="561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Identify alternative test procedures to meet requirements</w:t>
            </w:r>
          </w:p>
        </w:tc>
      </w:tr>
      <w:tr w:rsidTr="00D474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4.3</w:t>
            </w:r>
          </w:p>
        </w:tc>
        <w:tc>
          <w:tcPr>
            <w:tcW w:w="5610" w:type="dxa"/>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Maintain quality records</w:t>
            </w:r>
          </w:p>
        </w:tc>
      </w:tr>
    </w:tbl>
    <w:p w:rsidR="00000000" w:rsidRPr="00D47476" w:rsidP="00D47476">
      <w:pPr>
        <w:pStyle w:val="BodyText"/>
      </w:pPr>
    </w:p>
    <w:p w:rsidR="00000000" w:rsidRPr="00D47476" w:rsidP="00D47476">
      <w:pPr>
        <w:pStyle w:val="AllowPageBreak"/>
      </w:pPr>
    </w:p>
    <w:p w:rsidR="00000000" w:rsidRPr="00D47476" w:rsidP="00D47476">
      <w:pPr>
        <w:pStyle w:val="Heading1"/>
      </w:pPr>
      <w:bookmarkStart w:id="7" w:name="O_927826"/>
      <w:bookmarkEnd w:id="7"/>
      <w:r w:rsidRPr="00D47476">
        <w:t>Foundation Skills</w:t>
      </w:r>
    </w:p>
    <w:p w:rsidR="00000000" w:rsidRPr="00D47476" w:rsidP="006A458B">
      <w:pPr>
        <w:pStyle w:val="BodyText"/>
      </w:pPr>
      <w:r w:rsidRPr="00D47476">
        <w:t>This section describes those required skills (language, literacy and numeracy) that are essential to performance.</w:t>
      </w:r>
    </w:p>
    <w:p w:rsidR="00000000" w:rsidRPr="00D47476" w:rsidP="006A458B">
      <w:pPr>
        <w:pStyle w:val="BodyText"/>
      </w:pPr>
      <w:r w:rsidRPr="00D47476">
        <w:t>Foundation skills essential to performance are explicit in the performance criteria of this unit of competency.</w:t>
      </w:r>
    </w:p>
    <w:p w:rsidR="00000000" w:rsidRPr="00D47476" w:rsidP="00D47476">
      <w:pPr>
        <w:pStyle w:val="Heading1"/>
      </w:pPr>
      <w:bookmarkStart w:id="8" w:name="O_927825"/>
      <w:bookmarkEnd w:id="8"/>
      <w:r w:rsidRPr="00D47476">
        <w:t>Range of Con</w:t>
      </w:r>
      <w:r w:rsidRPr="00D47476">
        <w:t>ditions</w:t>
      </w:r>
    </w:p>
    <w:tbl>
      <w:tblPr>
        <w:tblW w:w="0" w:type="auto"/>
        <w:tblCellMar>
          <w:left w:w="62" w:type="dxa"/>
          <w:right w:w="62" w:type="dxa"/>
        </w:tblCellMar>
        <w:tblLook w:val="0000"/>
      </w:tblPr>
      <w:tblGrid>
        <w:gridCol w:w="2163"/>
        <w:gridCol w:w="7033"/>
      </w:tblGrid>
      <w:tr w:rsidTr="006A45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t>This field allows for different work environments and conditions that may affect performance. Essential operating conditions that may be present (depending on the work situation, needs of the candidate, accessibility of the item, and local industry</w:t>
            </w:r>
            <w:r w:rsidRPr="00D47476">
              <w:t xml:space="preserve"> and regional contexts) are included.</w:t>
            </w:r>
          </w:p>
        </w:tc>
      </w:tr>
      <w:tr w:rsidTr="006A45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The latest version of all legislation, regulations, industry codes of practice and Australian/international standards, or the version specified by the local regulatory authority, must be used.</w:t>
            </w:r>
          </w:p>
          <w:p w:rsidR="00000000" w:rsidRPr="00D47476" w:rsidP="00D47476">
            <w:pPr>
              <w:pStyle w:val="BodyText"/>
            </w:pPr>
          </w:p>
          <w:p w:rsidR="00000000" w:rsidRPr="00D47476" w:rsidP="00D47476">
            <w:pPr>
              <w:pStyle w:val="BodyText"/>
            </w:pPr>
            <w:r w:rsidRPr="00D47476">
              <w:t>Applicable legislation, regulations, standards and codes of practice include:</w:t>
            </w:r>
          </w:p>
          <w:p w:rsidR="00000000" w:rsidRPr="00D47476" w:rsidP="00D47476">
            <w:pPr>
              <w:pStyle w:val="ListBullet"/>
            </w:pPr>
            <w:r w:rsidRPr="00D47476">
              <w:t xml:space="preserve">health, safety and environmental (HSE) legislation, regulations and codes of practice relevant to the workplace, manual handling and hazardous materials </w:t>
            </w:r>
          </w:p>
          <w:p w:rsidR="00000000" w:rsidRPr="00D47476" w:rsidP="00D47476">
            <w:pPr>
              <w:pStyle w:val="ListBullet"/>
            </w:pPr>
            <w:r w:rsidRPr="00D47476">
              <w:t>Australian/internation</w:t>
            </w:r>
            <w:r w:rsidRPr="00D47476">
              <w:t>al standards relevant to the materials being used and products being made, including one or more of:</w:t>
            </w:r>
          </w:p>
          <w:p w:rsidR="00000000" w:rsidRPr="00D47476" w:rsidP="00D47476">
            <w:pPr>
              <w:pStyle w:val="ListBullet2"/>
            </w:pPr>
            <w:r w:rsidRPr="00D47476">
              <w:t>AS/NZS 5065:2005/Amdt 1:2010 Polyethylene and polypropylene pipes and fittings for drainage and sewerage applications</w:t>
            </w:r>
          </w:p>
          <w:p w:rsidR="00000000" w:rsidRPr="00D47476" w:rsidP="00D47476">
            <w:pPr>
              <w:pStyle w:val="ListBullet2"/>
            </w:pPr>
            <w:r w:rsidRPr="00D47476">
              <w:t>AS/NZS 2566.2:2002 Buried flexible pipelines - Installation or its replacement</w:t>
            </w:r>
          </w:p>
          <w:p w:rsidR="00000000" w:rsidRPr="00D47476" w:rsidP="00D47476">
            <w:pPr>
              <w:pStyle w:val="ListBullet2"/>
            </w:pPr>
            <w:r w:rsidRPr="00D47476">
              <w:t>AS/NZS 2033:2008 Installation of polyethylene pipe systems or its replacement</w:t>
            </w:r>
          </w:p>
          <w:p w:rsidR="00000000" w:rsidRPr="00D47476" w:rsidP="00D47476">
            <w:pPr>
              <w:pStyle w:val="ListBullet2"/>
            </w:pPr>
            <w:r w:rsidRPr="00D47476">
              <w:t>AS/NZS 4401:2008 Plastics piping systems for soil and waste discharge (low and high temperature) in</w:t>
            </w:r>
            <w:r w:rsidRPr="00D47476">
              <w:t>side buildings - Polyethylene (PE) or its replacement</w:t>
            </w:r>
          </w:p>
          <w:p w:rsidR="00000000" w:rsidRPr="00D47476" w:rsidP="00D47476">
            <w:pPr>
              <w:pStyle w:val="ListBullet"/>
            </w:pPr>
            <w:r w:rsidRPr="00D47476">
              <w:t>any relevant licence and certification requirements.</w:t>
            </w:r>
          </w:p>
          <w:p w:rsidR="00000000" w:rsidRPr="00D47476" w:rsidP="00D47476">
            <w:pPr>
              <w:pStyle w:val="BodyText"/>
            </w:pPr>
          </w:p>
          <w:p w:rsidR="00000000" w:rsidRPr="00D47476" w:rsidP="00D47476">
            <w:pPr>
              <w:pStyle w:val="BodyText"/>
            </w:pPr>
            <w:r w:rsidRPr="00D47476">
              <w:t>All operations to which this unit applies are subject to stringent HSE requirements, which may be imposed through state/territory or federal legisl</w:t>
            </w:r>
            <w:r w:rsidRPr="00D47476">
              <w:t>ation, and these must not be compromised at any time. Where there is an apparent conflict between performance criteria and such requirements the legislative requirements take precedence.</w:t>
            </w:r>
          </w:p>
          <w:p w:rsidR="00000000" w:rsidP="00D47476">
            <w:pPr>
              <w:pStyle w:val="BodyText"/>
              <w:rPr>
                <w:lang w:val="en-NZ"/>
              </w:rPr>
            </w:pPr>
          </w:p>
        </w:tc>
      </w:tr>
      <w:tr w:rsidTr="006A45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rPr>
                <w:rStyle w:val="SpecialBold"/>
              </w:rPr>
              <w:t>Joining methods</w:t>
            </w:r>
          </w:p>
        </w:tc>
        <w:tc>
          <w:tcPr>
            <w:tcW w:w="0" w:type="auto"/>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Joining methods include one or more of:</w:t>
            </w:r>
          </w:p>
          <w:p w:rsidR="00000000" w:rsidRPr="00D47476" w:rsidP="00D47476">
            <w:pPr>
              <w:pStyle w:val="ListBullet"/>
            </w:pPr>
            <w:r w:rsidRPr="00D47476">
              <w:t>mechanical</w:t>
            </w:r>
          </w:p>
          <w:p w:rsidR="00000000" w:rsidRPr="00D47476" w:rsidP="00D47476">
            <w:pPr>
              <w:pStyle w:val="ListBullet"/>
            </w:pPr>
            <w:r w:rsidRPr="00D47476">
              <w:t>chemical bond</w:t>
            </w:r>
          </w:p>
          <w:p w:rsidR="00000000" w:rsidRPr="00D47476" w:rsidP="00D47476">
            <w:pPr>
              <w:pStyle w:val="ListBullet"/>
            </w:pPr>
            <w:r w:rsidRPr="00D47476">
              <w:t>thermal fusion.</w:t>
            </w:r>
          </w:p>
          <w:p w:rsidR="00000000" w:rsidP="00D47476">
            <w:pPr>
              <w:pStyle w:val="BodyText"/>
              <w:rPr>
                <w:lang w:val="en-NZ"/>
              </w:rPr>
            </w:pPr>
          </w:p>
        </w:tc>
      </w:tr>
      <w:tr w:rsidTr="006A45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rPr>
                <w:rStyle w:val="SpecialBold"/>
              </w:rPr>
              <w:t xml:space="preserve">Installation </w:t>
            </w:r>
          </w:p>
        </w:tc>
        <w:tc>
          <w:tcPr>
            <w:tcW w:w="0" w:type="auto"/>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Installation can be one or more of:</w:t>
            </w:r>
          </w:p>
          <w:p w:rsidR="00000000" w:rsidRPr="00D47476" w:rsidP="00D47476">
            <w:pPr>
              <w:pStyle w:val="ListBullet"/>
            </w:pPr>
            <w:r w:rsidRPr="00D47476">
              <w:t>above ground</w:t>
            </w:r>
          </w:p>
          <w:p w:rsidR="00000000" w:rsidRPr="00D47476" w:rsidP="00D47476">
            <w:pPr>
              <w:pStyle w:val="ListBullet"/>
            </w:pPr>
            <w:r w:rsidRPr="00D47476">
              <w:t>below ground.</w:t>
            </w:r>
          </w:p>
          <w:p w:rsidR="00000000" w:rsidP="00D47476">
            <w:pPr>
              <w:pStyle w:val="BodyText"/>
              <w:rPr>
                <w:lang w:val="en-NZ"/>
              </w:rPr>
            </w:pPr>
          </w:p>
        </w:tc>
      </w:tr>
      <w:tr w:rsidTr="006A45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All operations must be performed in accordance with relevant procedures.</w:t>
            </w:r>
          </w:p>
          <w:p w:rsidR="00000000" w:rsidRPr="00D47476" w:rsidP="00D47476">
            <w:pPr>
              <w:pStyle w:val="BodyText"/>
            </w:pPr>
          </w:p>
          <w:p w:rsidR="00000000" w:rsidRPr="00D47476" w:rsidP="00D47476">
            <w:pPr>
              <w:pStyle w:val="BodyText"/>
            </w:pPr>
            <w:r w:rsidRPr="00D47476">
              <w:t>Procedures are written, verbal, visual, computer-based or in some other form, and include one or any combination of:</w:t>
            </w:r>
          </w:p>
          <w:p w:rsidR="00000000" w:rsidRPr="00D47476" w:rsidP="00D47476">
            <w:pPr>
              <w:pStyle w:val="ListBullet"/>
            </w:pPr>
            <w:r w:rsidRPr="00D47476">
              <w:t>emergency procedures</w:t>
            </w:r>
          </w:p>
          <w:p w:rsidR="00000000" w:rsidRPr="00D47476" w:rsidP="00D47476">
            <w:pPr>
              <w:pStyle w:val="ListBullet"/>
            </w:pPr>
            <w:r w:rsidRPr="00D47476">
              <w:t>work instructions</w:t>
            </w:r>
          </w:p>
          <w:p w:rsidR="00000000" w:rsidRPr="00D47476" w:rsidP="00D47476">
            <w:pPr>
              <w:pStyle w:val="ListBullet"/>
            </w:pPr>
            <w:r w:rsidRPr="00D47476">
              <w:t>standard operating procedures (SOPs)</w:t>
            </w:r>
          </w:p>
          <w:p w:rsidR="00000000" w:rsidRPr="00D47476" w:rsidP="00D47476">
            <w:pPr>
              <w:pStyle w:val="ListBullet"/>
            </w:pPr>
            <w:r w:rsidRPr="00D47476">
              <w:t>safe work method statements (SWMS)</w:t>
            </w:r>
          </w:p>
          <w:p w:rsidR="00000000" w:rsidRPr="00D47476" w:rsidP="00D47476">
            <w:pPr>
              <w:pStyle w:val="ListBullet"/>
            </w:pPr>
            <w:r w:rsidRPr="00D47476">
              <w:t>formulas/recipes</w:t>
            </w:r>
          </w:p>
          <w:p w:rsidR="00000000" w:rsidRPr="00D47476" w:rsidP="00D47476">
            <w:pPr>
              <w:pStyle w:val="ListBullet"/>
            </w:pPr>
            <w:r w:rsidRPr="00D47476">
              <w:t>batch shee</w:t>
            </w:r>
            <w:r w:rsidRPr="00D47476">
              <w:t>ts</w:t>
            </w:r>
          </w:p>
          <w:p w:rsidR="00000000" w:rsidRPr="00D47476" w:rsidP="00D47476">
            <w:pPr>
              <w:pStyle w:val="ListBullet"/>
            </w:pPr>
            <w:r w:rsidRPr="00D47476">
              <w:t>temporary instructions</w:t>
            </w:r>
          </w:p>
          <w:p w:rsidR="00000000" w:rsidRPr="00D47476" w:rsidP="00D47476">
            <w:pPr>
              <w:pStyle w:val="ListBullet"/>
            </w:pPr>
            <w:r w:rsidRPr="00D47476">
              <w:t>any similar instructions provided for the smooth running of the plant.</w:t>
            </w:r>
          </w:p>
          <w:p w:rsidR="00000000" w:rsidP="00D47476">
            <w:pPr>
              <w:pStyle w:val="BodyText"/>
              <w:rPr>
                <w:lang w:val="en-NZ"/>
              </w:rPr>
            </w:pPr>
          </w:p>
        </w:tc>
      </w:tr>
      <w:tr w:rsidTr="006A45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476">
            <w:pPr>
              <w:pStyle w:val="BodyText"/>
              <w:rPr>
                <w:lang w:val="en-NZ"/>
              </w:rPr>
            </w:pPr>
            <w:r w:rsidRPr="00D47476">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D47476" w:rsidP="00D47476">
            <w:pPr>
              <w:pStyle w:val="BodyText"/>
            </w:pPr>
            <w:r w:rsidRPr="00D47476">
              <w:t>Problems include one or more of:</w:t>
            </w:r>
          </w:p>
          <w:p w:rsidR="00000000" w:rsidRPr="00D47476" w:rsidP="00D47476">
            <w:pPr>
              <w:pStyle w:val="ListBullet"/>
            </w:pPr>
            <w:r w:rsidRPr="00D47476">
              <w:t xml:space="preserve">limitations on the available PE materials, pipes and components </w:t>
            </w:r>
          </w:p>
          <w:p w:rsidR="00000000" w:rsidRPr="00D47476" w:rsidP="00D47476">
            <w:pPr>
              <w:pStyle w:val="ListBullet"/>
            </w:pPr>
            <w:r w:rsidRPr="00D47476">
              <w:t>variable field site conditions</w:t>
            </w:r>
          </w:p>
          <w:p w:rsidR="00000000" w:rsidRPr="00D47476" w:rsidP="00D47476">
            <w:pPr>
              <w:pStyle w:val="ListBullet"/>
            </w:pPr>
            <w:r w:rsidRPr="00D47476">
              <w:t>limitations in available data on specific job requirements</w:t>
            </w:r>
          </w:p>
          <w:p w:rsidR="00000000" w:rsidRPr="00D47476" w:rsidP="00D47476">
            <w:pPr>
              <w:pStyle w:val="ListBullet"/>
            </w:pPr>
            <w:r w:rsidRPr="00D47476">
              <w:t>emergency situations.</w:t>
            </w:r>
          </w:p>
        </w:tc>
      </w:tr>
    </w:tbl>
    <w:p w:rsidR="00000000" w:rsidRPr="00D47476" w:rsidP="00D47476">
      <w:pPr>
        <w:pStyle w:val="BodyText"/>
      </w:pPr>
    </w:p>
    <w:p w:rsidR="00000000" w:rsidRPr="00D47476" w:rsidP="00D47476">
      <w:pPr>
        <w:pStyle w:val="AllowPageBreak"/>
      </w:pPr>
    </w:p>
    <w:p w:rsidR="00000000" w:rsidRPr="00D47476" w:rsidP="00D47476">
      <w:pPr>
        <w:pStyle w:val="Heading1"/>
      </w:pPr>
      <w:bookmarkStart w:id="9" w:name="O_927824"/>
      <w:bookmarkEnd w:id="9"/>
      <w:r w:rsidRPr="00D47476">
        <w:t>Unit Mapping Information</w:t>
      </w:r>
    </w:p>
    <w:p w:rsidR="00000000" w:rsidRPr="00D47476" w:rsidP="006A458B">
      <w:pPr>
        <w:pStyle w:val="BodyText"/>
      </w:pPr>
      <w:r w:rsidRPr="00D47476">
        <w:t>Release 1. Supersedes and is equivalent to PMBWELD304B Design polyethylene (non-pressure) drainage pipelines</w:t>
      </w:r>
    </w:p>
    <w:p w:rsidR="00000000" w:rsidRPr="00D47476" w:rsidP="00D47476">
      <w:pPr>
        <w:pStyle w:val="Heading1"/>
      </w:pPr>
      <w:bookmarkStart w:id="10" w:name="O_927817"/>
      <w:bookmarkEnd w:id="10"/>
      <w:r w:rsidRPr="00D47476">
        <w:t>Links</w:t>
      </w:r>
    </w:p>
    <w:p w:rsidR="00000000" w:rsidRPr="00D47476" w:rsidP="006A458B">
      <w:pPr>
        <w:pStyle w:val="BodyText"/>
      </w:pPr>
      <w:r w:rsidRPr="00D4747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E101B">
        <w:rPr>
          <w:rStyle w:val="Hyperlink"/>
        </w:rPr>
        <w:t>https://vetnet.gov.au/Pages/TrainingDocs.aspx?q=932aacef-7947-4c80-acc6-593719fe4090</w:t>
      </w:r>
      <w:r>
        <w:fldChar w:fldCharType="end"/>
      </w:r>
    </w:p>
    <w:p w:rsidR="00000000" w:rsidRPr="00D47476" w:rsidP="006A458B">
      <w:pPr>
        <w:pStyle w:val="BodyText"/>
        <w:sectPr w:rsidSect="00D47476">
          <w:headerReference w:type="default" r:id="rId10"/>
          <w:footerReference w:type="default" r:id="rId11"/>
          <w:pgSz w:w="11908" w:h="16833"/>
          <w:pgMar w:top="1702" w:right="1418" w:bottom="1702" w:left="1418" w:header="992" w:footer="992" w:gutter="0"/>
          <w:cols w:space="720"/>
          <w:noEndnote/>
          <w:docGrid w:linePitch="299"/>
        </w:sectPr>
      </w:pPr>
    </w:p>
    <w:p w:rsidR="00000000" w:rsidRPr="00D47476" w:rsidP="00D47476">
      <w:pPr>
        <w:pStyle w:val="SuperHeading"/>
      </w:pPr>
      <w:r w:rsidRPr="00D47476">
        <w:t xml:space="preserve">Assessment </w:t>
      </w:r>
      <w:r w:rsidRPr="00D47476">
        <w:t>Requirements for PMBWELD304 Design polyethylene (non-pressure) drainage pipelines</w:t>
      </w:r>
    </w:p>
    <w:p w:rsidR="00000000" w:rsidRPr="00D47476" w:rsidP="00D47476">
      <w:pPr>
        <w:pStyle w:val="Heading1"/>
      </w:pPr>
      <w:bookmarkStart w:id="11" w:name="O_927819"/>
      <w:bookmarkEnd w:id="11"/>
      <w:r w:rsidRPr="00D47476">
        <w:t>Modification History</w:t>
      </w:r>
    </w:p>
    <w:p w:rsidR="00000000" w:rsidRPr="00D47476" w:rsidP="006A458B">
      <w:pPr>
        <w:pStyle w:val="BodyText"/>
      </w:pPr>
      <w:r w:rsidRPr="00D47476">
        <w:t>Release 1. Supersedes and is equivalent to PMBWELD304B Design polyethylene (non-pressure) drainage pipelines</w:t>
      </w:r>
    </w:p>
    <w:p w:rsidR="00000000" w:rsidRPr="00D47476" w:rsidP="00D47476">
      <w:pPr>
        <w:pStyle w:val="Heading1"/>
      </w:pPr>
      <w:bookmarkStart w:id="12" w:name="O_927822"/>
      <w:bookmarkEnd w:id="12"/>
      <w:r w:rsidRPr="00D47476">
        <w:t>Performance Evidence</w:t>
      </w:r>
    </w:p>
    <w:p w:rsidR="00000000" w:rsidRPr="00D47476" w:rsidP="006A458B">
      <w:pPr>
        <w:pStyle w:val="BodyText"/>
      </w:pPr>
      <w:r w:rsidRPr="00D47476">
        <w:t>Evidence required to demonstrate competence in this unit must be relevant to and satisfy the requirements of the elements and performance criteria and demonstrate the ability to:</w:t>
      </w:r>
    </w:p>
    <w:p w:rsidR="00000000" w:rsidRPr="00D47476" w:rsidP="00D47476">
      <w:pPr>
        <w:pStyle w:val="ListBullet"/>
      </w:pPr>
      <w:r w:rsidRPr="00D47476">
        <w:t xml:space="preserve">read and interpret procedures, national standards, job </w:t>
      </w:r>
      <w:r w:rsidRPr="00D47476">
        <w:t>specifications, material labels and safety data sheets (SDS)</w:t>
      </w:r>
    </w:p>
    <w:p w:rsidR="00000000" w:rsidRPr="00D47476" w:rsidP="00D47476">
      <w:pPr>
        <w:pStyle w:val="ListBullet"/>
      </w:pPr>
      <w:r w:rsidRPr="00D47476">
        <w:t xml:space="preserve">identify suitable polyethylene (PE) materials </w:t>
      </w:r>
    </w:p>
    <w:p w:rsidR="00000000" w:rsidRPr="00D47476" w:rsidP="00D47476">
      <w:pPr>
        <w:pStyle w:val="ListBullet"/>
      </w:pPr>
      <w:r w:rsidRPr="00D47476">
        <w:t>identify alternative jointing methods appropriate to the materials</w:t>
      </w:r>
    </w:p>
    <w:p w:rsidR="00000000" w:rsidRPr="00D47476" w:rsidP="00D47476">
      <w:pPr>
        <w:pStyle w:val="ListBullet"/>
      </w:pPr>
      <w:r w:rsidRPr="00D47476">
        <w:t>determine material requirements</w:t>
      </w:r>
    </w:p>
    <w:p w:rsidR="00000000" w:rsidRPr="00D47476" w:rsidP="00D47476">
      <w:pPr>
        <w:pStyle w:val="ListBullet"/>
      </w:pPr>
      <w:r w:rsidRPr="00D47476">
        <w:t>determine non-pressure pipeline components</w:t>
      </w:r>
    </w:p>
    <w:p w:rsidR="00000000" w:rsidRPr="00D47476" w:rsidP="00D47476">
      <w:pPr>
        <w:pStyle w:val="ListBullet"/>
      </w:pPr>
      <w:r w:rsidRPr="00D47476">
        <w:t>prepar</w:t>
      </w:r>
      <w:r w:rsidRPr="00D47476">
        <w:t>e field operational sheets describing requirements and layout of non-pressure drainage pipeline</w:t>
      </w:r>
    </w:p>
    <w:p w:rsidR="00000000" w:rsidRPr="00D47476" w:rsidP="00D47476">
      <w:pPr>
        <w:pStyle w:val="ListBullet"/>
      </w:pPr>
      <w:r w:rsidRPr="00D47476">
        <w:t>determine testing and commissioning requirements.</w:t>
      </w:r>
    </w:p>
    <w:p w:rsidR="00000000" w:rsidRPr="00D47476" w:rsidP="00D47476">
      <w:pPr>
        <w:pStyle w:val="AllowPageBreak"/>
      </w:pPr>
    </w:p>
    <w:p w:rsidR="00000000" w:rsidRPr="00D47476" w:rsidP="00D47476">
      <w:pPr>
        <w:pStyle w:val="Heading1"/>
      </w:pPr>
      <w:bookmarkStart w:id="13" w:name="O_927821"/>
      <w:bookmarkEnd w:id="13"/>
      <w:r w:rsidRPr="00D47476">
        <w:t>Knowledge Evidence</w:t>
      </w:r>
    </w:p>
    <w:p w:rsidR="00000000" w:rsidRPr="00D47476" w:rsidP="006A458B">
      <w:pPr>
        <w:pStyle w:val="BodyText"/>
      </w:pPr>
      <w:r w:rsidRPr="00D47476">
        <w:t>Evidence required to demonstrate competence in this unit must be relevant to and satisfy the requirements of the elements and performance criteria and demonstrate knowledge of:</w:t>
      </w:r>
    </w:p>
    <w:p w:rsidR="00000000" w:rsidRPr="00D47476" w:rsidP="00D47476">
      <w:pPr>
        <w:pStyle w:val="ListBullet"/>
      </w:pPr>
      <w:r w:rsidRPr="00D47476">
        <w:t>safe working requirements</w:t>
      </w:r>
    </w:p>
    <w:p w:rsidR="00000000" w:rsidRPr="00D47476" w:rsidP="00D47476">
      <w:pPr>
        <w:pStyle w:val="ListBullet"/>
      </w:pPr>
      <w:r w:rsidRPr="00D47476">
        <w:t>PE materials and non-pressure drainage pipeline comp</w:t>
      </w:r>
      <w:r w:rsidRPr="00D47476">
        <w:t>onents as described in national standards, sufficient to recognise suitability for specific application and to establish work instructions.</w:t>
      </w:r>
    </w:p>
    <w:p w:rsidR="00000000" w:rsidRPr="00D47476" w:rsidP="00D47476">
      <w:pPr>
        <w:pStyle w:val="ListBullet"/>
      </w:pPr>
      <w:r w:rsidRPr="00D47476">
        <w:t>information sources on suitable types of PE materials and components</w:t>
      </w:r>
    </w:p>
    <w:p w:rsidR="00000000" w:rsidRPr="00D47476" w:rsidP="00D47476">
      <w:pPr>
        <w:pStyle w:val="ListBullet"/>
      </w:pPr>
      <w:r w:rsidRPr="00D47476">
        <w:t>selection requirements for PE non-pressure drai</w:t>
      </w:r>
      <w:r w:rsidRPr="00D47476">
        <w:t>nage pipeline components</w:t>
      </w:r>
    </w:p>
    <w:p w:rsidR="00000000" w:rsidRPr="00D47476" w:rsidP="00D47476">
      <w:pPr>
        <w:pStyle w:val="ListBullet"/>
      </w:pPr>
      <w:r w:rsidRPr="00D47476">
        <w:t>factors which may affect product quality or production output and appropriate remedies</w:t>
      </w:r>
    </w:p>
    <w:p w:rsidR="00000000" w:rsidRPr="00D47476" w:rsidP="00D47476">
      <w:pPr>
        <w:pStyle w:val="ListBullet"/>
      </w:pPr>
      <w:r w:rsidRPr="00D47476">
        <w:t>installation site variables</w:t>
      </w:r>
    </w:p>
    <w:p w:rsidR="00000000" w:rsidRPr="00D47476" w:rsidP="00D47476">
      <w:pPr>
        <w:pStyle w:val="ListBullet"/>
      </w:pPr>
      <w:r w:rsidRPr="00D47476">
        <w:t>organisation procedures relevant to the work environment/job role</w:t>
      </w:r>
    </w:p>
    <w:p w:rsidR="00000000" w:rsidRPr="00D47476" w:rsidP="00D47476">
      <w:pPr>
        <w:pStyle w:val="ListBullet"/>
      </w:pPr>
      <w:r w:rsidRPr="00D47476">
        <w:t xml:space="preserve">commissioning requirements and tests </w:t>
      </w:r>
    </w:p>
    <w:p w:rsidR="00000000" w:rsidRPr="00D47476" w:rsidP="00D47476">
      <w:pPr>
        <w:pStyle w:val="ListBullet"/>
      </w:pPr>
      <w:r w:rsidRPr="00D47476">
        <w:t>hazards that</w:t>
      </w:r>
      <w:r w:rsidRPr="00D47476">
        <w:t xml:space="preserve"> may arise in the job/work environment the range of possible causes, potential consequences and appropriate risk controls.</w:t>
      </w:r>
    </w:p>
    <w:p w:rsidR="00000000" w:rsidRPr="00D47476" w:rsidP="00D47476">
      <w:pPr>
        <w:pStyle w:val="AllowPageBreak"/>
      </w:pPr>
    </w:p>
    <w:p w:rsidR="00000000" w:rsidRPr="00D47476" w:rsidP="00D47476">
      <w:pPr>
        <w:pStyle w:val="Heading1"/>
      </w:pPr>
      <w:bookmarkStart w:id="14" w:name="O_927820"/>
      <w:bookmarkEnd w:id="14"/>
      <w:r w:rsidRPr="00D47476">
        <w:t>Assessment Conditions</w:t>
      </w:r>
    </w:p>
    <w:p w:rsidR="00000000" w:rsidRPr="00D47476" w:rsidP="00D47476">
      <w:pPr>
        <w:pStyle w:val="ListBullet"/>
      </w:pPr>
      <w:r w:rsidRPr="00D47476">
        <w:t xml:space="preserve">The unit should be assessed holistically and the judgement of competence shall be based on a </w:t>
      </w:r>
      <w:r w:rsidRPr="00D47476">
        <w:t xml:space="preserve">holistic assessment of the evidence. </w:t>
      </w:r>
    </w:p>
    <w:p w:rsidR="00000000" w:rsidRPr="00D47476" w:rsidP="00D47476">
      <w:pPr>
        <w:pStyle w:val="ListBullet"/>
      </w:pPr>
      <w:r w:rsidRPr="00D47476">
        <w:t>The collection of performance evidence:</w:t>
      </w:r>
    </w:p>
    <w:p w:rsidR="00000000" w:rsidRPr="00D47476" w:rsidP="00D47476">
      <w:pPr>
        <w:pStyle w:val="ListBullet2"/>
      </w:pPr>
      <w:r w:rsidRPr="00D47476">
        <w:t xml:space="preserve">should occur over a range of situations </w:t>
      </w:r>
    </w:p>
    <w:p w:rsidR="00000000" w:rsidRPr="00D47476" w:rsidP="00D47476">
      <w:pPr>
        <w:pStyle w:val="ListBullet2"/>
      </w:pPr>
      <w:r w:rsidRPr="00D47476">
        <w:t>will typically include a supervisor/third-party report or other evidence, focusing on consistent performance and problem recognition and solving. A supervisor/third-party report must be prepared by someone who has a direct, relevant, current relationship w</w:t>
      </w:r>
      <w:r w:rsidRPr="00D47476">
        <w:t xml:space="preserve">ith the person being assessed and who </w:t>
      </w:r>
      <w:r w:rsidRPr="00D47476">
        <w:t xml:space="preserve">is in a position to form a judgement on workplace performance relevant to the unit of competency </w:t>
      </w:r>
    </w:p>
    <w:p w:rsidR="00000000" w:rsidRPr="00D47476" w:rsidP="00D47476">
      <w:pPr>
        <w:pStyle w:val="ListBullet2"/>
      </w:pPr>
      <w:r w:rsidRPr="00D47476">
        <w:t>may use industry-based simulation for all or part of the unit particularly where safety, lack of opportunity or signific</w:t>
      </w:r>
      <w:r w:rsidRPr="00D47476">
        <w:t>ant cost is an issue.</w:t>
      </w:r>
    </w:p>
    <w:p w:rsidR="00000000" w:rsidRPr="00D47476" w:rsidP="00D47476">
      <w:pPr>
        <w:pStyle w:val="ListBullet"/>
      </w:pPr>
      <w:r w:rsidRPr="00D47476">
        <w:t>Assessment should occur in operational workplace situations. Where this is not possible or where personal safety or environmental damage are limiting factors assessment must occur in a sufficiently rigorous simulated environment that</w:t>
      </w:r>
      <w:r w:rsidRPr="00D47476">
        <w:t xml:space="preserve"> reflects realistic operational workplace conditions. This must cover all aspects of workplace performance, including environment, task skills, task management skills, contingency management skills and job role environment skills.  </w:t>
      </w:r>
    </w:p>
    <w:p w:rsidR="00000000" w:rsidRPr="00D47476" w:rsidP="00D47476">
      <w:pPr>
        <w:pStyle w:val="ListBullet"/>
      </w:pPr>
      <w:r w:rsidRPr="00D47476">
        <w:t xml:space="preserve">Knowledge evidence may </w:t>
      </w:r>
      <w:r w:rsidRPr="00D47476">
        <w:t>be collected concurrently with performance evidence or through an independent process, such as workbooks, written assessments or interviews.</w:t>
      </w:r>
    </w:p>
    <w:p w:rsidR="00000000" w:rsidRPr="00D47476" w:rsidP="00D47476">
      <w:pPr>
        <w:pStyle w:val="ListBullet"/>
      </w:pPr>
      <w:r w:rsidRPr="00D47476">
        <w:t xml:space="preserve">Assessment processes and techniques must be appropriate to the language, literacy and numeracy requirements of the </w:t>
      </w:r>
      <w:r w:rsidRPr="00D47476">
        <w:t>work being performed and the needs of the candidate.</w:t>
      </w:r>
    </w:p>
    <w:p w:rsidR="00000000" w:rsidRPr="00D47476" w:rsidP="00D47476">
      <w:pPr>
        <w:pStyle w:val="ListBullet"/>
      </w:pPr>
      <w:r w:rsidRPr="00D47476">
        <w:t>Conditions for assessment must include access to all tools, equipment, materials and documentation required, including relevant workplace procedures, product and manufacturing specifications associated w</w:t>
      </w:r>
      <w:r w:rsidRPr="00D47476">
        <w:t>ith this unit.</w:t>
      </w:r>
    </w:p>
    <w:p w:rsidR="00000000" w:rsidRPr="00D47476" w:rsidP="00D47476">
      <w:pPr>
        <w:pStyle w:val="ListBullet"/>
      </w:pPr>
      <w:r w:rsidRPr="00D47476">
        <w:t>The regulatory framework will be reflected in workplace policies and procedures and is not required to be independently assessed.</w:t>
      </w:r>
    </w:p>
    <w:p w:rsidR="00000000" w:rsidRPr="00D47476" w:rsidP="00D47476">
      <w:pPr>
        <w:pStyle w:val="ListBullet"/>
      </w:pPr>
      <w:r w:rsidRPr="00D47476">
        <w:t>Foundation skills are integral to competent performance of the unit and should not be assessed separately.</w:t>
      </w:r>
    </w:p>
    <w:p w:rsidR="00000000" w:rsidRPr="00D47476" w:rsidP="00D47476">
      <w:pPr>
        <w:pStyle w:val="ListBullet"/>
      </w:pPr>
      <w:r w:rsidRPr="00D47476">
        <w:t>Asse</w:t>
      </w:r>
      <w:r w:rsidRPr="00D47476">
        <w:t>ssors must satisfy the assessor competency requirements that are in place at the time of the assessment as set by the VET regulator.</w:t>
      </w:r>
    </w:p>
    <w:p w:rsidR="00000000" w:rsidRPr="00D47476" w:rsidP="00D47476">
      <w:pPr>
        <w:pStyle w:val="ListBullet"/>
      </w:pPr>
      <w:r w:rsidRPr="00D47476">
        <w:t>In addition the assessor or anyone acting in subject matter expert role in assessment shall demonstrate both technical comp</w:t>
      </w:r>
      <w:r w:rsidRPr="00D47476">
        <w:t xml:space="preserve">etency and currency. If the assessor cannot demonstrate technical competency and currency they shall assess with a subject matter expert who does meet these requirements. </w:t>
      </w:r>
    </w:p>
    <w:p w:rsidR="00000000" w:rsidRPr="00D47476" w:rsidP="00D47476">
      <w:pPr>
        <w:pStyle w:val="ListBullet"/>
      </w:pPr>
      <w:r w:rsidRPr="00D47476">
        <w:t>Technical competence can be demonstrated through one or more of:</w:t>
      </w:r>
    </w:p>
    <w:p w:rsidR="00000000" w:rsidRPr="00D47476" w:rsidP="00D47476">
      <w:pPr>
        <w:pStyle w:val="ListBullet2"/>
      </w:pPr>
      <w:r w:rsidRPr="00D47476">
        <w:t>relevant VET or ot</w:t>
      </w:r>
      <w:r w:rsidRPr="00D47476">
        <w:t xml:space="preserve">her qualification/Statement of Attainment </w:t>
      </w:r>
    </w:p>
    <w:p w:rsidR="00000000" w:rsidRPr="00D47476" w:rsidP="00D47476">
      <w:pPr>
        <w:pStyle w:val="ListBullet2"/>
      </w:pPr>
      <w:r w:rsidRPr="00D47476">
        <w:t xml:space="preserve">appropriate workplace experience </w:t>
      </w:r>
    </w:p>
    <w:p w:rsidR="00000000" w:rsidRPr="00D47476" w:rsidP="00D47476">
      <w:pPr>
        <w:pStyle w:val="ListBullet2"/>
      </w:pPr>
      <w:r w:rsidRPr="00D47476">
        <w:t xml:space="preserve">appropriate workplace experience supervising/evaluating the type of work being assessed </w:t>
      </w:r>
    </w:p>
    <w:p w:rsidR="00000000" w:rsidRPr="00D47476" w:rsidP="00D47476">
      <w:pPr>
        <w:pStyle w:val="ListBullet"/>
      </w:pPr>
      <w:r w:rsidRPr="00D47476">
        <w:t>Currency can be demonstrated through one or more of:</w:t>
      </w:r>
    </w:p>
    <w:p w:rsidR="00000000" w:rsidRPr="00D47476" w:rsidP="00D47476">
      <w:pPr>
        <w:pStyle w:val="ListBullet2"/>
      </w:pPr>
      <w:r w:rsidRPr="00D47476">
        <w:t xml:space="preserve">being currently employed undertaking the type of work being assessed </w:t>
      </w:r>
    </w:p>
    <w:p w:rsidR="00000000" w:rsidRPr="00D47476" w:rsidP="00D47476">
      <w:pPr>
        <w:pStyle w:val="ListBullet2"/>
      </w:pPr>
      <w:r w:rsidRPr="00D47476">
        <w:t xml:space="preserve">being employed by the organisation undertaking the type of work being assessed and having maintained currency </w:t>
      </w:r>
    </w:p>
    <w:p w:rsidR="00000000" w:rsidRPr="00D47476" w:rsidP="00D47476">
      <w:pPr>
        <w:pStyle w:val="ListBullet2"/>
      </w:pPr>
      <w:r w:rsidRPr="00D47476">
        <w:t>having consulted/had contact with an organisation undertaking the type of w</w:t>
      </w:r>
      <w:r w:rsidRPr="00D47476">
        <w:t xml:space="preserve">ork being assessed within the last twelve months, the consultation/contact being related to assessment </w:t>
      </w:r>
    </w:p>
    <w:p w:rsidR="00000000" w:rsidRPr="00D47476" w:rsidP="00D47476">
      <w:pPr>
        <w:pStyle w:val="ListBullet2"/>
      </w:pPr>
      <w:r w:rsidRPr="00D47476">
        <w:t>conducting on the job training/assessments of the type of work being assessed.</w:t>
      </w:r>
    </w:p>
    <w:p w:rsidR="00000000" w:rsidRPr="00D47476" w:rsidP="00D47476">
      <w:pPr>
        <w:pStyle w:val="AllowPageBreak"/>
      </w:pPr>
    </w:p>
    <w:p w:rsidR="00000000" w:rsidRPr="00D47476" w:rsidP="00D47476">
      <w:pPr>
        <w:pStyle w:val="Heading1"/>
      </w:pPr>
      <w:bookmarkStart w:id="15" w:name="O_927818"/>
      <w:bookmarkEnd w:id="15"/>
      <w:r w:rsidRPr="00D47476">
        <w:t>Links</w:t>
      </w:r>
    </w:p>
    <w:p w:rsidR="00000000" w:rsidRPr="00D47476" w:rsidP="006A458B">
      <w:pPr>
        <w:pStyle w:val="BodyText"/>
      </w:pPr>
      <w:r w:rsidRPr="00D47476">
        <w:t>Companion Volume implementation guides are found i</w:t>
      </w:r>
      <w:r w:rsidRPr="00D47476">
        <w:t xml:space="preserve">n VETNet - </w:t>
      </w:r>
      <w:r>
        <w:fldChar w:fldCharType="begin"/>
      </w:r>
      <w:r>
        <w:instrText xml:space="preserve"> HYPERLINK "https://vetnet.gov.au/Pages/TrainingDocs.aspx?q=932aacef-7947-4c80-acc6-593719fe4090" </w:instrText>
      </w:r>
      <w:r>
        <w:fldChar w:fldCharType="separate"/>
      </w:r>
      <w:r w:rsidRPr="005E101B">
        <w:rPr>
          <w:rStyle w:val="Hyperlink"/>
        </w:rPr>
        <w:t>https://vetnet.gov.au/Pages/TrainingDocs.aspx?q=932aacef-7947-4c80-acc6-593719fe4090</w:t>
      </w:r>
      <w:r>
        <w:fldChar w:fldCharType="end"/>
      </w:r>
    </w:p>
    <w:p w:rsidR="00000000" w:rsidRPr="00D47476" w:rsidP="00D47476"/>
    <w:sectPr w:rsidSect="00D474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6" w:rsidRPr="006A458B" w:rsidP="006A4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8B" w:rsidP="00D474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458B" w:rsidP="00D474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458B" w:rsidP="00D474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6" w:rsidP="00D47476">
    <w:pPr>
      <w:pStyle w:val="Footer"/>
      <w:framePr w:wrap="around"/>
    </w:pPr>
    <w:r>
      <w:fldChar w:fldCharType="begin"/>
    </w:r>
    <w:r>
      <w:instrText xml:space="preserve"> DOCPROPERTY  Subject  \* MERGEFORMAT </w:instrText>
    </w:r>
    <w:r>
      <w:fldChar w:fldCharType="separate"/>
    </w:r>
    <w:r w:rsidR="006A458B">
      <w:t>Approved</w:t>
    </w:r>
    <w:r w:rsidR="006A458B">
      <w:fldChar w:fldCharType="end"/>
    </w:r>
    <w:r>
      <w:tab/>
      <w:t xml:space="preserve">Page </w:t>
    </w:r>
    <w:r>
      <w:fldChar w:fldCharType="begin"/>
    </w:r>
    <w:r>
      <w:instrText xml:space="preserve"> PAGE  \* Arabic  \* MERGEFORMAT </w:instrText>
    </w:r>
    <w:r>
      <w:fldChar w:fldCharType="separate"/>
    </w:r>
    <w:r w:rsidR="006A45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458B">
      <w:rPr>
        <w:noProof/>
      </w:rPr>
      <w:t>5</w:t>
    </w:r>
    <w:r>
      <w:rPr>
        <w:noProof/>
      </w:rPr>
      <w:fldChar w:fldCharType="end"/>
    </w:r>
  </w:p>
  <w:p w:rsidR="00D47476" w:rsidP="00D47476">
    <w:pPr>
      <w:pStyle w:val="Footer"/>
      <w:framePr w:wrap="around"/>
    </w:pPr>
    <w:r>
      <w:t xml:space="preserve">© Commonwealth of Australia, </w:t>
    </w:r>
    <w:r>
      <w:fldChar w:fldCharType="begin"/>
    </w:r>
    <w:r>
      <w:instrText xml:space="preserve"> DATE  \@ "yyyy"  \* MERGEFORMAT </w:instrText>
    </w:r>
    <w:r>
      <w:fldChar w:fldCharType="separate"/>
    </w:r>
    <w:r w:rsidR="006A458B">
      <w:rPr>
        <w:noProof/>
      </w:rPr>
      <w:t>2025</w:t>
    </w:r>
    <w:r>
      <w:fldChar w:fldCharType="end"/>
    </w:r>
    <w:r>
      <w:tab/>
    </w:r>
    <w:r>
      <w:fldChar w:fldCharType="begin"/>
    </w:r>
    <w:r>
      <w:instrText xml:space="preserve"> DOCPROPERTY  Author  \* MERGEFORMAT </w:instrText>
    </w:r>
    <w:r>
      <w:fldChar w:fldCharType="separate"/>
    </w:r>
    <w:r w:rsidR="006A458B">
      <w:t>Manufacturing Industry Skills Alliance</w:t>
    </w:r>
    <w:r w:rsidR="006A458B">
      <w:fldChar w:fldCharType="end"/>
    </w:r>
  </w:p>
  <w:p w:rsidR="00D47476" w:rsidP="00D474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476" w:rsidRPr="006A458B" w:rsidP="006A45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8B" w:rsidRPr="002D2AF8" w:rsidP="00D47476">
    <w:pPr>
      <w:pStyle w:val="Header"/>
      <w:framePr w:wrap="around"/>
    </w:pPr>
    <w:r>
      <w:fldChar w:fldCharType="begin"/>
    </w:r>
    <w:r>
      <w:instrText xml:space="preserve"> TITLE   \* MERGEFORMAT </w:instrText>
    </w:r>
    <w:r>
      <w:fldChar w:fldCharType="separate"/>
    </w:r>
    <w:r>
      <w:t>PMBWELD304 Design polyethylene (non-pressure) drainage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458B" w:rsidP="00D474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6" w:rsidRPr="002D2AF8" w:rsidP="00D47476">
    <w:pPr>
      <w:pStyle w:val="Header"/>
      <w:framePr w:wrap="around"/>
    </w:pPr>
    <w:r>
      <w:fldChar w:fldCharType="begin"/>
    </w:r>
    <w:r>
      <w:instrText xml:space="preserve"> TITLE   \* MERGEFORMAT </w:instrText>
    </w:r>
    <w:r>
      <w:fldChar w:fldCharType="separate"/>
    </w:r>
    <w:r w:rsidR="006A458B">
      <w:t>PMBWELD304 Design polyethylene (non-pressure) drainage pipelines</w:t>
    </w:r>
    <w:r w:rsidR="006A458B">
      <w:fldChar w:fldCharType="end"/>
    </w:r>
    <w:r>
      <w:tab/>
      <w:t xml:space="preserve">Date this document was generated: </w:t>
    </w:r>
    <w:r>
      <w:fldChar w:fldCharType="begin"/>
    </w:r>
    <w:r>
      <w:instrText xml:space="preserve"> CREATEDATE  \@ "d MMMM yyyy"  \* MERGEFORMAT </w:instrText>
    </w:r>
    <w:r>
      <w:fldChar w:fldCharType="separate"/>
    </w:r>
    <w:r w:rsidR="006A458B">
      <w:rPr>
        <w:noProof/>
      </w:rPr>
      <w:t>2 March 2025</w:t>
    </w:r>
    <w:r>
      <w:fldChar w:fldCharType="end"/>
    </w:r>
  </w:p>
  <w:p w:rsidR="00D47476" w:rsidP="00D474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080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A29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848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4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476"/>
    <w:pPr>
      <w:spacing w:before="360" w:after="60"/>
      <w:outlineLvl w:val="0"/>
    </w:pPr>
    <w:rPr>
      <w:sz w:val="32"/>
    </w:rPr>
  </w:style>
  <w:style w:type="paragraph" w:styleId="Heading2">
    <w:name w:val="heading 2"/>
    <w:basedOn w:val="HeadingBase"/>
    <w:next w:val="BodyText"/>
    <w:link w:val="Heading2Char"/>
    <w:qFormat/>
    <w:rsid w:val="00D47476"/>
    <w:pPr>
      <w:keepLines/>
      <w:spacing w:before="240" w:after="120"/>
      <w:outlineLvl w:val="1"/>
    </w:pPr>
    <w:rPr>
      <w:sz w:val="28"/>
      <w:szCs w:val="40"/>
    </w:rPr>
  </w:style>
  <w:style w:type="paragraph" w:styleId="Heading3">
    <w:name w:val="heading 3"/>
    <w:basedOn w:val="HeadingBase"/>
    <w:next w:val="BodyText"/>
    <w:link w:val="Heading3Char"/>
    <w:qFormat/>
    <w:rsid w:val="00D47476"/>
    <w:pPr>
      <w:spacing w:before="180" w:after="120"/>
      <w:outlineLvl w:val="2"/>
    </w:pPr>
    <w:rPr>
      <w:spacing w:val="-10"/>
      <w:kern w:val="32"/>
    </w:rPr>
  </w:style>
  <w:style w:type="paragraph" w:styleId="Heading4">
    <w:name w:val="heading 4"/>
    <w:basedOn w:val="HeadingBase"/>
    <w:next w:val="BodyText"/>
    <w:link w:val="Heading4Char"/>
    <w:qFormat/>
    <w:rsid w:val="00D47476"/>
    <w:pPr>
      <w:spacing w:before="160" w:after="120"/>
      <w:outlineLvl w:val="3"/>
    </w:pPr>
    <w:rPr>
      <w:sz w:val="22"/>
    </w:rPr>
  </w:style>
  <w:style w:type="paragraph" w:styleId="Heading5">
    <w:name w:val="heading 5"/>
    <w:basedOn w:val="HeadingBase"/>
    <w:next w:val="Normal"/>
    <w:link w:val="Heading5Char"/>
    <w:qFormat/>
    <w:rsid w:val="00D47476"/>
    <w:pPr>
      <w:spacing w:before="80"/>
      <w:outlineLvl w:val="4"/>
    </w:pPr>
    <w:rPr>
      <w:color w:val="918585"/>
      <w:sz w:val="20"/>
    </w:rPr>
  </w:style>
  <w:style w:type="paragraph" w:styleId="Heading6">
    <w:name w:val="heading 6"/>
    <w:basedOn w:val="HeadingBase"/>
    <w:next w:val="Normal"/>
    <w:link w:val="Heading6Char"/>
    <w:qFormat/>
    <w:rsid w:val="00D47476"/>
    <w:pPr>
      <w:spacing w:before="60"/>
      <w:outlineLvl w:val="5"/>
    </w:pPr>
    <w:rPr>
      <w:color w:val="918585"/>
      <w:sz w:val="20"/>
    </w:rPr>
  </w:style>
  <w:style w:type="paragraph" w:styleId="Heading7">
    <w:name w:val="heading 7"/>
    <w:basedOn w:val="Normal"/>
    <w:next w:val="Normal"/>
    <w:link w:val="Heading7Char"/>
    <w:qFormat/>
    <w:rsid w:val="00D47476"/>
    <w:pPr>
      <w:ind w:left="720"/>
      <w:outlineLvl w:val="6"/>
    </w:pPr>
    <w:rPr>
      <w:i/>
    </w:rPr>
  </w:style>
  <w:style w:type="paragraph" w:styleId="Heading8">
    <w:name w:val="heading 8"/>
    <w:basedOn w:val="Normal"/>
    <w:next w:val="Normal"/>
    <w:link w:val="Heading8Char"/>
    <w:qFormat/>
    <w:rsid w:val="00D47476"/>
    <w:pPr>
      <w:ind w:left="720"/>
      <w:outlineLvl w:val="7"/>
    </w:pPr>
    <w:rPr>
      <w:i/>
    </w:rPr>
  </w:style>
  <w:style w:type="paragraph" w:styleId="Heading9">
    <w:name w:val="heading 9"/>
    <w:basedOn w:val="Normal"/>
    <w:next w:val="Normal"/>
    <w:link w:val="Heading9Char"/>
    <w:qFormat/>
    <w:rsid w:val="00D47476"/>
    <w:pPr>
      <w:ind w:left="720"/>
      <w:outlineLvl w:val="8"/>
    </w:pPr>
    <w:rPr>
      <w:i/>
    </w:rPr>
  </w:style>
  <w:style w:type="character" w:default="1" w:styleId="DefaultParagraphFont">
    <w:name w:val="Default Paragraph Font"/>
    <w:uiPriority w:val="1"/>
    <w:unhideWhenUsed/>
    <w:rsid w:val="00D47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476"/>
  </w:style>
  <w:style w:type="character" w:customStyle="1" w:styleId="Heading1Char">
    <w:name w:val="Heading 1 Char"/>
    <w:basedOn w:val="DefaultParagraphFont"/>
    <w:link w:val="Heading1"/>
    <w:rsid w:val="00D47476"/>
    <w:rPr>
      <w:rFonts w:ascii="Times New Roman" w:eastAsia="Times New Roman" w:hAnsi="Times New Roman" w:cs="Times New Roman"/>
      <w:b/>
      <w:sz w:val="32"/>
      <w:szCs w:val="20"/>
      <w:lang w:eastAsia="en-US"/>
    </w:rPr>
  </w:style>
  <w:style w:type="paragraph" w:styleId="BodyText">
    <w:name w:val="Body Text"/>
    <w:basedOn w:val="Normal"/>
    <w:link w:val="BodyTextChar"/>
    <w:rsid w:val="00D474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476"/>
    <w:rPr>
      <w:rFonts w:ascii="Times New Roman" w:eastAsia="Times New Roman" w:hAnsi="Times New Roman" w:cs="Times New Roman"/>
      <w:sz w:val="24"/>
      <w:lang w:eastAsia="en-US"/>
    </w:rPr>
  </w:style>
  <w:style w:type="paragraph" w:styleId="ListBullet">
    <w:name w:val="List Bullet"/>
    <w:basedOn w:val="List"/>
    <w:rsid w:val="00D47476"/>
    <w:pPr>
      <w:numPr>
        <w:numId w:val="12"/>
      </w:numPr>
      <w:tabs>
        <w:tab w:val="clear" w:pos="340"/>
      </w:tabs>
      <w:spacing w:before="40" w:after="40"/>
    </w:pPr>
  </w:style>
  <w:style w:type="character" w:customStyle="1" w:styleId="SpecialBold">
    <w:name w:val="Special Bold"/>
    <w:basedOn w:val="DefaultParagraphFont"/>
    <w:rsid w:val="00D47476"/>
    <w:rPr>
      <w:b/>
      <w:spacing w:val="0"/>
    </w:rPr>
  </w:style>
  <w:style w:type="paragraph" w:styleId="ListBullet2">
    <w:name w:val="List Bullet 2"/>
    <w:basedOn w:val="List2"/>
    <w:rsid w:val="00D47476"/>
    <w:pPr>
      <w:numPr>
        <w:numId w:val="13"/>
      </w:numPr>
      <w:tabs>
        <w:tab w:val="clear" w:pos="680"/>
      </w:tabs>
    </w:pPr>
  </w:style>
  <w:style w:type="paragraph" w:customStyle="1" w:styleId="SuperHeading">
    <w:name w:val="SuperHeading"/>
    <w:basedOn w:val="Normal"/>
    <w:rsid w:val="00D47476"/>
    <w:pPr>
      <w:spacing w:before="240" w:after="120"/>
      <w:outlineLvl w:val="0"/>
    </w:pPr>
    <w:rPr>
      <w:rFonts w:ascii="Times New Roman" w:hAnsi="Times New Roman"/>
      <w:b/>
      <w:sz w:val="32"/>
    </w:rPr>
  </w:style>
  <w:style w:type="paragraph" w:customStyle="1" w:styleId="AllowPageBreak">
    <w:name w:val="AllowPageBreak"/>
    <w:rsid w:val="00D474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4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4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4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4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4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4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476"/>
    <w:rPr>
      <w:rFonts w:ascii="Courier New" w:eastAsia="Times New Roman" w:hAnsi="Courier New" w:cs="Times New Roman"/>
      <w:i/>
      <w:szCs w:val="20"/>
      <w:lang w:eastAsia="en-US"/>
    </w:rPr>
  </w:style>
  <w:style w:type="paragraph" w:customStyle="1" w:styleId="HeadingBase">
    <w:name w:val="Heading Base"/>
    <w:rsid w:val="00D47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476"/>
    <w:pPr>
      <w:tabs>
        <w:tab w:val="right" w:leader="dot" w:pos="9072"/>
      </w:tabs>
      <w:ind w:left="567"/>
    </w:pPr>
    <w:rPr>
      <w:szCs w:val="22"/>
    </w:rPr>
  </w:style>
  <w:style w:type="paragraph" w:customStyle="1" w:styleId="TOCBase">
    <w:name w:val="TOC Base"/>
    <w:rsid w:val="00D47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476"/>
    <w:pPr>
      <w:tabs>
        <w:tab w:val="right" w:leader="dot" w:pos="9072"/>
      </w:tabs>
      <w:spacing w:before="40" w:after="40"/>
      <w:ind w:left="284"/>
    </w:pPr>
    <w:rPr>
      <w:rFonts w:ascii="Times New Roman" w:hAnsi="Times New Roman"/>
    </w:rPr>
  </w:style>
  <w:style w:type="paragraph" w:styleId="TOC1">
    <w:name w:val="toc 1"/>
    <w:basedOn w:val="TOCBase"/>
    <w:next w:val="Normal"/>
    <w:rsid w:val="00D474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476"/>
    <w:rPr>
      <w:rFonts w:ascii="Times New Roman" w:eastAsia="Times New Roman" w:hAnsi="Times New Roman" w:cs="Times New Roman"/>
      <w:sz w:val="16"/>
      <w:lang w:eastAsia="en-US"/>
    </w:rPr>
  </w:style>
  <w:style w:type="paragraph" w:styleId="Title">
    <w:name w:val="Title"/>
    <w:basedOn w:val="HeadingBase"/>
    <w:link w:val="TitleChar"/>
    <w:qFormat/>
    <w:rsid w:val="00D47476"/>
    <w:pPr>
      <w:spacing w:before="5040"/>
      <w:jc w:val="center"/>
    </w:pPr>
    <w:rPr>
      <w:sz w:val="48"/>
      <w:szCs w:val="72"/>
      <w:lang w:val="en-US"/>
    </w:rPr>
  </w:style>
  <w:style w:type="character" w:customStyle="1" w:styleId="TitleChar">
    <w:name w:val="Title Char"/>
    <w:basedOn w:val="DefaultParagraphFont"/>
    <w:link w:val="Title"/>
    <w:rsid w:val="00D47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476"/>
    <w:pPr>
      <w:tabs>
        <w:tab w:val="left" w:pos="3600"/>
        <w:tab w:val="left" w:pos="3958"/>
      </w:tabs>
    </w:pPr>
  </w:style>
  <w:style w:type="paragraph" w:styleId="List">
    <w:name w:val="List"/>
    <w:basedOn w:val="BodyText"/>
    <w:next w:val="BodyText"/>
    <w:rsid w:val="00D47476"/>
    <w:pPr>
      <w:tabs>
        <w:tab w:val="left" w:pos="340"/>
      </w:tabs>
      <w:spacing w:before="60" w:after="60"/>
      <w:ind w:left="340" w:hanging="340"/>
    </w:pPr>
  </w:style>
  <w:style w:type="paragraph" w:customStyle="1" w:styleId="Note">
    <w:name w:val="Note"/>
    <w:basedOn w:val="BodyText"/>
    <w:rsid w:val="00D474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476"/>
    <w:pPr>
      <w:framePr w:wrap="auto" w:hAnchor="text" w:y="6049"/>
    </w:pPr>
    <w:rPr>
      <w:color w:val="000000"/>
      <w:sz w:val="40"/>
    </w:rPr>
  </w:style>
  <w:style w:type="paragraph" w:customStyle="1" w:styleId="TOCTitle">
    <w:name w:val="TOCTitle"/>
    <w:basedOn w:val="Heading1"/>
    <w:rsid w:val="00D47476"/>
    <w:pPr>
      <w:spacing w:after="240"/>
      <w:jc w:val="center"/>
      <w:outlineLvl w:val="9"/>
    </w:pPr>
    <w:rPr>
      <w:caps/>
    </w:rPr>
  </w:style>
  <w:style w:type="paragraph" w:customStyle="1" w:styleId="Version">
    <w:name w:val="Version"/>
    <w:rsid w:val="00D474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7476"/>
    <w:pPr>
      <w:keepNext w:val="0"/>
      <w:tabs>
        <w:tab w:val="right" w:pos="4176"/>
      </w:tabs>
      <w:ind w:left="198" w:hanging="198"/>
    </w:pPr>
    <w:rPr>
      <w:rFonts w:ascii="Garamond" w:hAnsi="Garamond"/>
    </w:rPr>
  </w:style>
  <w:style w:type="paragraph" w:styleId="IndexHeading">
    <w:name w:val="index heading"/>
    <w:basedOn w:val="Normal"/>
    <w:next w:val="Index1"/>
    <w:semiHidden/>
    <w:rsid w:val="00D47476"/>
    <w:pPr>
      <w:spacing w:before="120" w:after="120"/>
    </w:pPr>
    <w:rPr>
      <w:rFonts w:ascii="Arial" w:hAnsi="Arial"/>
      <w:b/>
      <w:color w:val="918585"/>
      <w:sz w:val="24"/>
    </w:rPr>
  </w:style>
  <w:style w:type="paragraph" w:styleId="Header">
    <w:name w:val="header"/>
    <w:basedOn w:val="Normal"/>
    <w:link w:val="HeaderChar"/>
    <w:rsid w:val="00D47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476"/>
    <w:rPr>
      <w:rFonts w:ascii="Times New Roman" w:eastAsia="Times New Roman" w:hAnsi="Times New Roman" w:cs="Times New Roman"/>
      <w:sz w:val="16"/>
      <w:szCs w:val="20"/>
      <w:lang w:val="en-GB" w:eastAsia="en-US"/>
    </w:rPr>
  </w:style>
  <w:style w:type="paragraph" w:customStyle="1" w:styleId="Chapter">
    <w:name w:val="Chapter"/>
    <w:basedOn w:val="Normal"/>
    <w:rsid w:val="00D47476"/>
    <w:pPr>
      <w:spacing w:before="240"/>
    </w:pPr>
    <w:rPr>
      <w:rFonts w:ascii="Times New Roman" w:hAnsi="Times New Roman"/>
      <w:smallCaps/>
      <w:spacing w:val="80"/>
      <w:sz w:val="28"/>
    </w:rPr>
  </w:style>
  <w:style w:type="paragraph" w:customStyle="1" w:styleId="InChapter">
    <w:name w:val="InChapter"/>
    <w:basedOn w:val="Heading3"/>
    <w:rsid w:val="00D47476"/>
    <w:pPr>
      <w:spacing w:after="240"/>
      <w:outlineLvl w:val="9"/>
    </w:pPr>
    <w:rPr>
      <w:noProof/>
    </w:rPr>
  </w:style>
  <w:style w:type="paragraph" w:styleId="Index2">
    <w:name w:val="index 2"/>
    <w:basedOn w:val="Normal"/>
    <w:next w:val="Normal"/>
    <w:semiHidden/>
    <w:rsid w:val="00D47476"/>
    <w:pPr>
      <w:tabs>
        <w:tab w:val="right" w:pos="4176"/>
      </w:tabs>
      <w:ind w:left="568" w:hanging="284"/>
    </w:pPr>
    <w:rPr>
      <w:rFonts w:ascii="Garamond" w:hAnsi="Garamond"/>
    </w:rPr>
  </w:style>
  <w:style w:type="paragraph" w:customStyle="1" w:styleId="Byline">
    <w:name w:val="Byline"/>
    <w:rsid w:val="00D47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476"/>
    <w:pPr>
      <w:tabs>
        <w:tab w:val="clear" w:pos="3600"/>
        <w:tab w:val="clear" w:pos="3958"/>
      </w:tabs>
      <w:jc w:val="right"/>
    </w:pPr>
  </w:style>
  <w:style w:type="character" w:styleId="Emphasis">
    <w:name w:val="Emphasis"/>
    <w:basedOn w:val="DefaultParagraphFont"/>
    <w:qFormat/>
    <w:rsid w:val="00D47476"/>
    <w:rPr>
      <w:i/>
    </w:rPr>
  </w:style>
  <w:style w:type="paragraph" w:styleId="Caption">
    <w:name w:val="caption"/>
    <w:basedOn w:val="BodyText"/>
    <w:next w:val="Normal"/>
    <w:qFormat/>
    <w:rsid w:val="00D47476"/>
    <w:pPr>
      <w:framePr w:w="2268" w:hSpace="181" w:vSpace="181" w:wrap="around" w:vAnchor="text" w:hAnchor="page" w:x="1135" w:y="285" w:anchorLock="1"/>
    </w:pPr>
    <w:rPr>
      <w:i/>
    </w:rPr>
  </w:style>
  <w:style w:type="paragraph" w:customStyle="1" w:styleId="MiniTOCTitle">
    <w:name w:val="MiniTOCTitle"/>
    <w:basedOn w:val="Heading4"/>
    <w:rsid w:val="00D47476"/>
    <w:pPr>
      <w:spacing w:before="240"/>
      <w:outlineLvl w:val="9"/>
    </w:pPr>
    <w:rPr>
      <w:noProof/>
      <w:sz w:val="24"/>
    </w:rPr>
  </w:style>
  <w:style w:type="paragraph" w:customStyle="1" w:styleId="MiniTOCItem">
    <w:name w:val="MiniTOCItem"/>
    <w:basedOn w:val="ListBullet"/>
    <w:rsid w:val="00D47476"/>
    <w:pPr>
      <w:numPr>
        <w:numId w:val="0"/>
      </w:numPr>
      <w:tabs>
        <w:tab w:val="right" w:leader="dot" w:pos="6521"/>
      </w:tabs>
      <w:spacing w:before="0" w:after="0"/>
    </w:pPr>
  </w:style>
  <w:style w:type="paragraph" w:customStyle="1" w:styleId="TOFTitle">
    <w:name w:val="TOFTitle"/>
    <w:basedOn w:val="TOCTitle"/>
    <w:rsid w:val="00D47476"/>
  </w:style>
  <w:style w:type="paragraph" w:styleId="TableofFigures">
    <w:name w:val="table of figures"/>
    <w:basedOn w:val="Normal"/>
    <w:next w:val="Normal"/>
    <w:semiHidden/>
    <w:rsid w:val="00D47476"/>
    <w:pPr>
      <w:tabs>
        <w:tab w:val="right" w:leader="dot" w:pos="9072"/>
      </w:tabs>
      <w:ind w:left="970" w:hanging="403"/>
    </w:pPr>
    <w:rPr>
      <w:rFonts w:ascii="Times New Roman" w:hAnsi="Times New Roman"/>
      <w:b/>
    </w:rPr>
  </w:style>
  <w:style w:type="paragraph" w:styleId="ListNumber">
    <w:name w:val="List Number"/>
    <w:basedOn w:val="List"/>
    <w:rsid w:val="00D47476"/>
    <w:pPr>
      <w:numPr>
        <w:numId w:val="15"/>
      </w:numPr>
      <w:tabs>
        <w:tab w:val="clear" w:pos="340"/>
      </w:tabs>
    </w:pPr>
  </w:style>
  <w:style w:type="character" w:customStyle="1" w:styleId="WingdingSymbols">
    <w:name w:val="Wingding Symbols"/>
    <w:rsid w:val="00D47476"/>
    <w:rPr>
      <w:rFonts w:ascii="Wingdings" w:hAnsi="Wingdings"/>
    </w:rPr>
  </w:style>
  <w:style w:type="paragraph" w:customStyle="1" w:styleId="TableHeading">
    <w:name w:val="Table Heading"/>
    <w:basedOn w:val="HeadingBase"/>
    <w:rsid w:val="00D47476"/>
    <w:pPr>
      <w:keepLines/>
      <w:pBdr>
        <w:bottom w:val="single" w:sz="6" w:space="1" w:color="918585"/>
      </w:pBdr>
      <w:spacing w:before="240"/>
    </w:pPr>
  </w:style>
  <w:style w:type="character" w:customStyle="1" w:styleId="HotSpot">
    <w:name w:val="HotSpot"/>
    <w:rsid w:val="00D47476"/>
    <w:rPr>
      <w:color w:val="0033CC"/>
      <w:u w:val="none"/>
    </w:rPr>
  </w:style>
  <w:style w:type="paragraph" w:customStyle="1" w:styleId="BodyTextRight">
    <w:name w:val="Body Text Right"/>
    <w:basedOn w:val="BodyText"/>
    <w:rsid w:val="00D47476"/>
    <w:pPr>
      <w:spacing w:before="0" w:after="0"/>
      <w:jc w:val="right"/>
    </w:pPr>
  </w:style>
  <w:style w:type="paragraph" w:styleId="Index3">
    <w:name w:val="index 3"/>
    <w:basedOn w:val="ListNumber2"/>
    <w:next w:val="Normal"/>
    <w:semiHidden/>
    <w:rsid w:val="00D47476"/>
    <w:pPr>
      <w:numPr>
        <w:numId w:val="0"/>
      </w:numPr>
      <w:tabs>
        <w:tab w:val="right" w:leader="dot" w:pos="4176"/>
      </w:tabs>
    </w:pPr>
  </w:style>
  <w:style w:type="paragraph" w:styleId="ListNumber2">
    <w:name w:val="List Number 2"/>
    <w:basedOn w:val="List2"/>
    <w:rsid w:val="00D47476"/>
    <w:pPr>
      <w:numPr>
        <w:numId w:val="10"/>
      </w:numPr>
      <w:tabs>
        <w:tab w:val="clear" w:pos="1060"/>
      </w:tabs>
    </w:pPr>
  </w:style>
  <w:style w:type="paragraph" w:customStyle="1" w:styleId="MarginNote">
    <w:name w:val="Margin Note"/>
    <w:basedOn w:val="BodyText"/>
    <w:rsid w:val="00D47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4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476"/>
    <w:rPr>
      <w:sz w:val="32"/>
    </w:rPr>
  </w:style>
  <w:style w:type="paragraph" w:customStyle="1" w:styleId="HeadingProcedure">
    <w:name w:val="Heading Procedure"/>
    <w:basedOn w:val="HeadingBase"/>
    <w:next w:val="Normal"/>
    <w:rsid w:val="00D47476"/>
    <w:pPr>
      <w:tabs>
        <w:tab w:val="left" w:pos="0"/>
      </w:tabs>
      <w:spacing w:before="120" w:after="60"/>
    </w:pPr>
    <w:rPr>
      <w:i/>
      <w:color w:val="918585"/>
      <w:sz w:val="22"/>
    </w:rPr>
  </w:style>
  <w:style w:type="paragraph" w:customStyle="1" w:styleId="TableBodyText">
    <w:name w:val="Table Body Text"/>
    <w:basedOn w:val="BodyText"/>
    <w:rsid w:val="00D47476"/>
    <w:pPr>
      <w:spacing w:before="60" w:after="60"/>
    </w:pPr>
  </w:style>
  <w:style w:type="paragraph" w:styleId="ListContinue">
    <w:name w:val="List Continue"/>
    <w:basedOn w:val="List"/>
    <w:rsid w:val="00D47476"/>
    <w:pPr>
      <w:ind w:firstLine="0"/>
    </w:pPr>
  </w:style>
  <w:style w:type="paragraph" w:customStyle="1" w:styleId="ListNote">
    <w:name w:val="List Note"/>
    <w:basedOn w:val="List"/>
    <w:rsid w:val="00D47476"/>
    <w:pPr>
      <w:pBdr>
        <w:top w:val="single" w:sz="6" w:space="2" w:color="918585"/>
        <w:bottom w:val="single" w:sz="6" w:space="2" w:color="918585"/>
      </w:pBdr>
      <w:tabs>
        <w:tab w:val="left" w:pos="1021"/>
      </w:tabs>
      <w:ind w:firstLine="0"/>
    </w:pPr>
  </w:style>
  <w:style w:type="paragraph" w:customStyle="1" w:styleId="Warning">
    <w:name w:val="Warning"/>
    <w:basedOn w:val="BodyText"/>
    <w:rsid w:val="00D47476"/>
    <w:pPr>
      <w:shd w:val="clear" w:color="auto" w:fill="D9D9D9"/>
      <w:tabs>
        <w:tab w:val="left" w:pos="992"/>
      </w:tabs>
      <w:ind w:left="119" w:right="119"/>
    </w:pPr>
    <w:rPr>
      <w:sz w:val="20"/>
    </w:rPr>
  </w:style>
  <w:style w:type="paragraph" w:customStyle="1" w:styleId="MarginIcons">
    <w:name w:val="Margin Icons"/>
    <w:basedOn w:val="BodyText"/>
    <w:rsid w:val="00D474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476"/>
    <w:rPr>
      <w:rFonts w:ascii="Courier New" w:hAnsi="Courier New"/>
    </w:rPr>
  </w:style>
  <w:style w:type="paragraph" w:customStyle="1" w:styleId="NoteBullet">
    <w:name w:val="Note Bullet"/>
    <w:basedOn w:val="Note"/>
    <w:rsid w:val="00D47476"/>
    <w:pPr>
      <w:tabs>
        <w:tab w:val="clear" w:pos="680"/>
      </w:tabs>
      <w:spacing w:before="60" w:after="60"/>
    </w:pPr>
  </w:style>
  <w:style w:type="paragraph" w:customStyle="1" w:styleId="SubHeading2">
    <w:name w:val="SubHeading2"/>
    <w:basedOn w:val="HeadingBase"/>
    <w:rsid w:val="00D47476"/>
    <w:pPr>
      <w:spacing w:before="240" w:after="60"/>
    </w:pPr>
    <w:rPr>
      <w:sz w:val="20"/>
    </w:rPr>
  </w:style>
  <w:style w:type="paragraph" w:customStyle="1" w:styleId="SubHeading1">
    <w:name w:val="SubHeading1"/>
    <w:basedOn w:val="HeadingBase"/>
    <w:rsid w:val="00D47476"/>
    <w:pPr>
      <w:spacing w:before="240" w:after="60"/>
    </w:pPr>
    <w:rPr>
      <w:color w:val="918585"/>
      <w:sz w:val="22"/>
    </w:rPr>
  </w:style>
  <w:style w:type="paragraph" w:customStyle="1" w:styleId="SideHeading">
    <w:name w:val="Side Heading"/>
    <w:basedOn w:val="HeadingBase"/>
    <w:rsid w:val="00D47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476"/>
    <w:pPr>
      <w:tabs>
        <w:tab w:val="num" w:pos="360"/>
      </w:tabs>
    </w:pPr>
  </w:style>
  <w:style w:type="paragraph" w:styleId="PlainText">
    <w:name w:val="Plain Text"/>
    <w:basedOn w:val="Normal"/>
    <w:link w:val="PlainTextChar"/>
    <w:rsid w:val="00D47476"/>
    <w:rPr>
      <w:sz w:val="20"/>
    </w:rPr>
  </w:style>
  <w:style w:type="character" w:customStyle="1" w:styleId="PlainTextChar">
    <w:name w:val="Plain Text Char"/>
    <w:basedOn w:val="DefaultParagraphFont"/>
    <w:link w:val="PlainText"/>
    <w:rsid w:val="00D47476"/>
    <w:rPr>
      <w:rFonts w:ascii="Courier New" w:eastAsia="Times New Roman" w:hAnsi="Courier New" w:cs="Times New Roman"/>
      <w:sz w:val="20"/>
      <w:szCs w:val="20"/>
      <w:lang w:eastAsia="en-US"/>
    </w:rPr>
  </w:style>
  <w:style w:type="character" w:customStyle="1" w:styleId="MenuOption">
    <w:name w:val="Menu Option"/>
    <w:basedOn w:val="DefaultParagraphFont"/>
    <w:rsid w:val="00D47476"/>
    <w:rPr>
      <w:b/>
      <w:smallCaps/>
    </w:rPr>
  </w:style>
  <w:style w:type="paragraph" w:customStyle="1" w:styleId="TableListNumber">
    <w:name w:val="Table List Number"/>
    <w:basedOn w:val="ListNumber"/>
    <w:rsid w:val="00D47476"/>
    <w:pPr>
      <w:numPr>
        <w:numId w:val="0"/>
      </w:numPr>
    </w:pPr>
  </w:style>
  <w:style w:type="paragraph" w:styleId="TOC4">
    <w:name w:val="toc 4"/>
    <w:basedOn w:val="TOCBase"/>
    <w:next w:val="Normal"/>
    <w:semiHidden/>
    <w:rsid w:val="00D47476"/>
    <w:pPr>
      <w:tabs>
        <w:tab w:val="right" w:leader="dot" w:pos="9071"/>
      </w:tabs>
      <w:ind w:left="1701"/>
    </w:pPr>
  </w:style>
  <w:style w:type="paragraph" w:customStyle="1" w:styleId="ListAlpha">
    <w:name w:val="List Alpha"/>
    <w:basedOn w:val="List"/>
    <w:rsid w:val="00D47476"/>
    <w:pPr>
      <w:numPr>
        <w:numId w:val="9"/>
      </w:numPr>
    </w:pPr>
  </w:style>
  <w:style w:type="paragraph" w:customStyle="1" w:styleId="ListAlpha2">
    <w:name w:val="List Alpha 2"/>
    <w:basedOn w:val="List2"/>
    <w:rsid w:val="00D47476"/>
    <w:pPr>
      <w:numPr>
        <w:numId w:val="8"/>
      </w:numPr>
    </w:pPr>
  </w:style>
  <w:style w:type="paragraph" w:styleId="List2">
    <w:name w:val="List 2"/>
    <w:basedOn w:val="BodyText"/>
    <w:rsid w:val="00D47476"/>
    <w:pPr>
      <w:tabs>
        <w:tab w:val="left" w:pos="680"/>
      </w:tabs>
      <w:spacing w:before="60" w:after="60"/>
      <w:ind w:left="680" w:hanging="340"/>
    </w:pPr>
  </w:style>
  <w:style w:type="paragraph" w:styleId="List3">
    <w:name w:val="List 3"/>
    <w:basedOn w:val="BodyText"/>
    <w:rsid w:val="00D47476"/>
    <w:pPr>
      <w:tabs>
        <w:tab w:val="left" w:pos="1021"/>
      </w:tabs>
      <w:spacing w:before="60" w:after="60"/>
      <w:ind w:left="1020" w:hanging="340"/>
    </w:pPr>
  </w:style>
  <w:style w:type="paragraph" w:styleId="List4">
    <w:name w:val="List 4"/>
    <w:basedOn w:val="BodyText"/>
    <w:rsid w:val="00D47476"/>
    <w:pPr>
      <w:tabs>
        <w:tab w:val="left" w:pos="1361"/>
      </w:tabs>
      <w:spacing w:before="60" w:after="60"/>
      <w:ind w:left="1361" w:hanging="340"/>
    </w:pPr>
  </w:style>
  <w:style w:type="paragraph" w:styleId="List5">
    <w:name w:val="List 5"/>
    <w:basedOn w:val="BodyText"/>
    <w:rsid w:val="00D47476"/>
    <w:pPr>
      <w:tabs>
        <w:tab w:val="left" w:pos="1701"/>
      </w:tabs>
      <w:spacing w:before="60" w:after="60"/>
      <w:ind w:left="1701" w:hanging="340"/>
    </w:pPr>
  </w:style>
  <w:style w:type="paragraph" w:styleId="ListBullet3">
    <w:name w:val="List Bullet 3"/>
    <w:basedOn w:val="List3"/>
    <w:rsid w:val="00D47476"/>
    <w:pPr>
      <w:numPr>
        <w:numId w:val="14"/>
      </w:numPr>
      <w:tabs>
        <w:tab w:val="clear" w:pos="1021"/>
      </w:tabs>
      <w:ind w:left="1037" w:hanging="357"/>
    </w:pPr>
  </w:style>
  <w:style w:type="paragraph" w:styleId="ListBullet4">
    <w:name w:val="List Bullet 4"/>
    <w:basedOn w:val="List4"/>
    <w:rsid w:val="00D47476"/>
    <w:pPr>
      <w:numPr>
        <w:numId w:val="3"/>
      </w:numPr>
      <w:tabs>
        <w:tab w:val="clear" w:pos="1361"/>
      </w:tabs>
    </w:pPr>
  </w:style>
  <w:style w:type="paragraph" w:styleId="ListBullet5">
    <w:name w:val="List Bullet 5"/>
    <w:basedOn w:val="List5"/>
    <w:rsid w:val="00D47476"/>
    <w:pPr>
      <w:numPr>
        <w:numId w:val="4"/>
      </w:numPr>
    </w:pPr>
  </w:style>
  <w:style w:type="paragraph" w:styleId="ListContinue2">
    <w:name w:val="List Continue 2"/>
    <w:basedOn w:val="List2"/>
    <w:rsid w:val="00D47476"/>
    <w:pPr>
      <w:ind w:firstLine="0"/>
    </w:pPr>
  </w:style>
  <w:style w:type="paragraph" w:styleId="ListContinue3">
    <w:name w:val="List Continue 3"/>
    <w:basedOn w:val="List3"/>
    <w:rsid w:val="00D47476"/>
    <w:pPr>
      <w:ind w:left="1021" w:firstLine="0"/>
    </w:pPr>
  </w:style>
  <w:style w:type="paragraph" w:styleId="ListContinue4">
    <w:name w:val="List Continue 4"/>
    <w:basedOn w:val="List4"/>
    <w:rsid w:val="00D47476"/>
    <w:pPr>
      <w:ind w:firstLine="0"/>
    </w:pPr>
  </w:style>
  <w:style w:type="paragraph" w:styleId="ListContinue5">
    <w:name w:val="List Continue 5"/>
    <w:basedOn w:val="List5"/>
    <w:rsid w:val="00D47476"/>
    <w:pPr>
      <w:ind w:firstLine="0"/>
    </w:pPr>
  </w:style>
  <w:style w:type="paragraph" w:styleId="ListNumber3">
    <w:name w:val="List Number 3"/>
    <w:basedOn w:val="List3"/>
    <w:rsid w:val="00D47476"/>
    <w:pPr>
      <w:numPr>
        <w:numId w:val="5"/>
      </w:numPr>
    </w:pPr>
  </w:style>
  <w:style w:type="paragraph" w:styleId="ListNumber4">
    <w:name w:val="List Number 4"/>
    <w:basedOn w:val="List4"/>
    <w:rsid w:val="00D47476"/>
    <w:pPr>
      <w:numPr>
        <w:numId w:val="6"/>
      </w:numPr>
    </w:pPr>
  </w:style>
  <w:style w:type="paragraph" w:styleId="ListNumber5">
    <w:name w:val="List Number 5"/>
    <w:basedOn w:val="List5"/>
    <w:rsid w:val="00D47476"/>
    <w:pPr>
      <w:numPr>
        <w:numId w:val="7"/>
      </w:numPr>
    </w:pPr>
  </w:style>
  <w:style w:type="paragraph" w:styleId="BlockText">
    <w:name w:val="Block Text"/>
    <w:basedOn w:val="Normal"/>
    <w:rsid w:val="00D47476"/>
    <w:pPr>
      <w:spacing w:after="120"/>
      <w:ind w:left="1440" w:right="1440"/>
    </w:pPr>
  </w:style>
  <w:style w:type="character" w:customStyle="1" w:styleId="Subscript">
    <w:name w:val="Subscript"/>
    <w:basedOn w:val="DefaultParagraphFont"/>
    <w:rsid w:val="00D47476"/>
    <w:rPr>
      <w:sz w:val="16"/>
      <w:vertAlign w:val="subscript"/>
    </w:rPr>
  </w:style>
  <w:style w:type="character" w:customStyle="1" w:styleId="Superscript">
    <w:name w:val="Superscript"/>
    <w:basedOn w:val="DefaultParagraphFont"/>
    <w:rsid w:val="00D47476"/>
    <w:rPr>
      <w:sz w:val="16"/>
      <w:vertAlign w:val="superscript"/>
    </w:rPr>
  </w:style>
  <w:style w:type="character" w:customStyle="1" w:styleId="Symbols">
    <w:name w:val="Symbols"/>
    <w:basedOn w:val="DefaultParagraphFont"/>
    <w:rsid w:val="00D47476"/>
    <w:rPr>
      <w:rFonts w:ascii="Symbol" w:hAnsi="Symbol"/>
    </w:rPr>
  </w:style>
  <w:style w:type="character" w:customStyle="1" w:styleId="MenuOptions">
    <w:name w:val="Menu Options"/>
    <w:basedOn w:val="DefaultParagraphFont"/>
    <w:rsid w:val="00D47476"/>
    <w:rPr>
      <w:rFonts w:ascii="Arial Narrow" w:hAnsi="Arial Narrow"/>
      <w:smallCaps/>
    </w:rPr>
  </w:style>
  <w:style w:type="character" w:customStyle="1" w:styleId="Buttons">
    <w:name w:val="Buttons"/>
    <w:basedOn w:val="DefaultParagraphFont"/>
    <w:rsid w:val="00D47476"/>
    <w:rPr>
      <w:b/>
    </w:rPr>
  </w:style>
  <w:style w:type="character" w:customStyle="1" w:styleId="Underlined">
    <w:name w:val="Underlined"/>
    <w:basedOn w:val="DefaultParagraphFont"/>
    <w:rsid w:val="00D47476"/>
    <w:rPr>
      <w:u w:val="single"/>
    </w:rPr>
  </w:style>
  <w:style w:type="paragraph" w:customStyle="1" w:styleId="TableBodyTextRight">
    <w:name w:val="Table Body Text Right"/>
    <w:basedOn w:val="TableBodyText"/>
    <w:rsid w:val="00D47476"/>
    <w:pPr>
      <w:widowControl w:val="0"/>
      <w:autoSpaceDE w:val="0"/>
      <w:autoSpaceDN w:val="0"/>
      <w:adjustRightInd w:val="0"/>
      <w:jc w:val="right"/>
    </w:pPr>
    <w:rPr>
      <w:rFonts w:cs="Arial"/>
      <w:szCs w:val="18"/>
    </w:rPr>
  </w:style>
  <w:style w:type="paragraph" w:customStyle="1" w:styleId="CopyrightText">
    <w:name w:val="Copyright Text"/>
    <w:basedOn w:val="BodyText"/>
    <w:rsid w:val="00D47476"/>
    <w:rPr>
      <w:sz w:val="18"/>
    </w:rPr>
  </w:style>
  <w:style w:type="paragraph" w:customStyle="1" w:styleId="BodySmallRight">
    <w:name w:val="Body Small Right"/>
    <w:basedOn w:val="BodyTextRight"/>
    <w:rsid w:val="00D47476"/>
    <w:rPr>
      <w:sz w:val="18"/>
      <w:szCs w:val="18"/>
    </w:rPr>
  </w:style>
  <w:style w:type="paragraph" w:customStyle="1" w:styleId="MarginEdition">
    <w:name w:val="Margin Edition"/>
    <w:basedOn w:val="MarginNote"/>
    <w:rsid w:val="00D47476"/>
    <w:pPr>
      <w:spacing w:before="0" w:after="0"/>
    </w:pPr>
    <w:rPr>
      <w:rFonts w:ascii="Times New Roman" w:hAnsi="Times New Roman"/>
      <w:color w:val="999999"/>
    </w:rPr>
  </w:style>
  <w:style w:type="paragraph" w:customStyle="1" w:styleId="Spacer">
    <w:name w:val="Spacer"/>
    <w:basedOn w:val="Normal"/>
    <w:rsid w:val="00D47476"/>
    <w:rPr>
      <w:sz w:val="2"/>
      <w:szCs w:val="2"/>
    </w:rPr>
  </w:style>
  <w:style w:type="character" w:customStyle="1" w:styleId="Small">
    <w:name w:val="Small"/>
    <w:basedOn w:val="DefaultParagraphFont"/>
    <w:rsid w:val="00D47476"/>
    <w:rPr>
      <w:sz w:val="16"/>
    </w:rPr>
  </w:style>
  <w:style w:type="paragraph" w:customStyle="1" w:styleId="WideTable">
    <w:name w:val="Wide Table"/>
    <w:basedOn w:val="Normal"/>
    <w:rsid w:val="00D47476"/>
    <w:pPr>
      <w:ind w:left="-1418"/>
    </w:pPr>
    <w:rPr>
      <w:sz w:val="2"/>
      <w:szCs w:val="2"/>
    </w:rPr>
  </w:style>
  <w:style w:type="character" w:styleId="PageNumber">
    <w:name w:val="page number"/>
    <w:basedOn w:val="DefaultParagraphFont"/>
    <w:rsid w:val="00D47476"/>
  </w:style>
  <w:style w:type="paragraph" w:styleId="Quote">
    <w:name w:val="Quote"/>
    <w:basedOn w:val="Heading1"/>
    <w:link w:val="QuoteChar"/>
    <w:qFormat/>
    <w:rsid w:val="00D47476"/>
    <w:rPr>
      <w:b w:val="0"/>
      <w:sz w:val="72"/>
      <w:szCs w:val="72"/>
      <w:lang w:val="en-NZ"/>
    </w:rPr>
  </w:style>
  <w:style w:type="character" w:customStyle="1" w:styleId="QuoteChar">
    <w:name w:val="Quote Char"/>
    <w:basedOn w:val="DefaultParagraphFont"/>
    <w:link w:val="Quote"/>
    <w:rsid w:val="00D47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476"/>
    <w:pPr>
      <w:pageBreakBefore/>
    </w:pPr>
  </w:style>
  <w:style w:type="paragraph" w:customStyle="1" w:styleId="Border">
    <w:name w:val="Border"/>
    <w:basedOn w:val="Normal"/>
    <w:qFormat/>
    <w:rsid w:val="00D474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476"/>
    <w:rPr>
      <w:b/>
      <w:bCs/>
      <w:i/>
      <w:iCs/>
      <w:color w:val="auto"/>
    </w:rPr>
  </w:style>
  <w:style w:type="paragraph" w:styleId="IntenseQuote">
    <w:name w:val="Intense Quote"/>
    <w:basedOn w:val="Normal"/>
    <w:next w:val="Normal"/>
    <w:link w:val="IntenseQuoteChar"/>
    <w:uiPriority w:val="30"/>
    <w:qFormat/>
    <w:rsid w:val="00D474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4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476"/>
    <w:rPr>
      <w:smallCaps/>
      <w:color w:val="auto"/>
      <w:u w:val="single"/>
    </w:rPr>
  </w:style>
  <w:style w:type="character" w:styleId="IntenseReference">
    <w:name w:val="Intense Reference"/>
    <w:basedOn w:val="DefaultParagraphFont"/>
    <w:uiPriority w:val="32"/>
    <w:qFormat/>
    <w:rsid w:val="00D47476"/>
    <w:rPr>
      <w:b/>
      <w:bCs/>
      <w:smallCaps/>
      <w:color w:val="auto"/>
      <w:spacing w:val="5"/>
      <w:u w:val="single"/>
    </w:rPr>
  </w:style>
  <w:style w:type="paragraph" w:customStyle="1" w:styleId="2ColumnHeading">
    <w:name w:val="2Column Heading"/>
    <w:basedOn w:val="BodyText"/>
    <w:qFormat/>
    <w:rsid w:val="00D47476"/>
    <w:pPr>
      <w:spacing w:after="60"/>
      <w:ind w:left="-2268"/>
    </w:pPr>
    <w:rPr>
      <w:b/>
    </w:rPr>
  </w:style>
  <w:style w:type="paragraph" w:customStyle="1" w:styleId="Heading1TOC">
    <w:name w:val="Heading1 TOC"/>
    <w:basedOn w:val="Normal"/>
    <w:qFormat/>
    <w:rsid w:val="00D47476"/>
    <w:pPr>
      <w:spacing w:before="240" w:after="120"/>
    </w:pPr>
    <w:rPr>
      <w:rFonts w:ascii="Times New Roman" w:hAnsi="Times New Roman"/>
      <w:b/>
      <w:sz w:val="32"/>
    </w:rPr>
  </w:style>
  <w:style w:type="paragraph" w:customStyle="1" w:styleId="Heading2TOC">
    <w:name w:val="Heading2 TOC"/>
    <w:basedOn w:val="Normal"/>
    <w:qFormat/>
    <w:rsid w:val="00D47476"/>
    <w:pPr>
      <w:spacing w:before="240" w:after="60"/>
    </w:pPr>
    <w:rPr>
      <w:rFonts w:ascii="Times New Roman" w:hAnsi="Times New Roman"/>
      <w:b/>
      <w:sz w:val="28"/>
    </w:rPr>
  </w:style>
  <w:style w:type="character" w:customStyle="1" w:styleId="Underline">
    <w:name w:val="Underline"/>
    <w:basedOn w:val="DefaultParagraphFont"/>
    <w:qFormat/>
    <w:rsid w:val="00D47476"/>
    <w:rPr>
      <w:u w:val="single"/>
    </w:rPr>
  </w:style>
  <w:style w:type="character" w:customStyle="1" w:styleId="BoldandItalics">
    <w:name w:val="Bold and Italics"/>
    <w:qFormat/>
    <w:rsid w:val="00D47476"/>
    <w:rPr>
      <w:b/>
      <w:i/>
      <w:u w:val="none"/>
    </w:rPr>
  </w:style>
  <w:style w:type="paragraph" w:styleId="BalloonText">
    <w:name w:val="Balloon Text"/>
    <w:basedOn w:val="Normal"/>
    <w:link w:val="BalloonTextChar"/>
    <w:rsid w:val="00D47476"/>
    <w:rPr>
      <w:rFonts w:ascii="Tahoma" w:hAnsi="Tahoma" w:cs="Tahoma"/>
      <w:sz w:val="16"/>
      <w:szCs w:val="16"/>
    </w:rPr>
  </w:style>
  <w:style w:type="character" w:customStyle="1" w:styleId="BalloonTextChar">
    <w:name w:val="Balloon Text Char"/>
    <w:basedOn w:val="DefaultParagraphFont"/>
    <w:link w:val="BalloonText"/>
    <w:rsid w:val="00D474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4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4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476"/>
    <w:rPr>
      <w:b/>
      <w:color w:val="660033"/>
      <w:spacing w:val="0"/>
    </w:rPr>
  </w:style>
  <w:style w:type="paragraph" w:customStyle="1" w:styleId="Nameditemlist">
    <w:name w:val="Named item list"/>
    <w:basedOn w:val="BodyText"/>
    <w:qFormat/>
    <w:rsid w:val="00D47476"/>
    <w:pPr>
      <w:tabs>
        <w:tab w:val="left" w:pos="2835"/>
      </w:tabs>
      <w:ind w:left="2835" w:hanging="2835"/>
    </w:pPr>
  </w:style>
  <w:style w:type="paragraph" w:customStyle="1" w:styleId="BodyTextnopadding">
    <w:name w:val="Body Text no padding"/>
    <w:basedOn w:val="BodyText"/>
    <w:qFormat/>
    <w:rsid w:val="00D47476"/>
    <w:pPr>
      <w:spacing w:before="0" w:after="0"/>
    </w:pPr>
  </w:style>
  <w:style w:type="paragraph" w:customStyle="1" w:styleId="BodyTextBold">
    <w:name w:val="Body Text Bold"/>
    <w:basedOn w:val="BodyText"/>
    <w:qFormat/>
    <w:rsid w:val="00D47476"/>
    <w:rPr>
      <w:b/>
    </w:rPr>
  </w:style>
  <w:style w:type="character" w:styleId="Hyperlink">
    <w:name w:val="Hyperlink"/>
    <w:basedOn w:val="DefaultParagraphFont"/>
    <w:uiPriority w:val="99"/>
    <w:unhideWhenUsed/>
    <w:rsid w:val="006A45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1530</Words>
  <Characters>10042</Characters>
  <Application>Microsoft Office Word</Application>
  <DocSecurity>0</DocSecurity>
  <Lines>323</Lines>
  <Paragraphs>183</Paragraphs>
  <ScaleCrop>false</ScaleCrop>
  <Company>Author-it Software Corporation Ltd.</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PMBWELD304 Design polyethylene (non-pressure) drainage pipelines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