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140" w:rsidP="00E83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PMBWELD303 Install polyethylene (non-pressure) drainage pipelines</w:t>
      </w:r>
      <w:r>
        <w:fldChar w:fldCharType="end"/>
      </w:r>
    </w:p>
    <w:p w:rsidR="00E83140" w:rsidP="00E83140">
      <w:pPr>
        <w:pStyle w:val="Version"/>
        <w:sectPr w:rsidSect="00506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EB6" w:rsidP="00506EB6">
      <w:pPr>
        <w:pStyle w:val="SuperHeading"/>
      </w:pPr>
      <w:r w:rsidRPr="00506EB6">
        <w:t>Assessment Requirements for PMBWELD303 Install polyethylene (non-pressure) drainage pipelines</w:t>
      </w:r>
    </w:p>
    <w:p w:rsidR="00000000" w:rsidRPr="00506EB6" w:rsidP="00506EB6">
      <w:pPr>
        <w:pStyle w:val="Heading1"/>
      </w:pPr>
      <w:bookmarkStart w:id="1" w:name="O_927800"/>
      <w:bookmarkEnd w:id="1"/>
      <w:r w:rsidRPr="00506EB6">
        <w:t>Modification History</w:t>
      </w:r>
    </w:p>
    <w:p w:rsidR="00000000" w:rsidRPr="00506EB6" w:rsidP="00506EB6">
      <w:pPr>
        <w:pStyle w:val="BodyText"/>
      </w:pPr>
      <w:r w:rsidRPr="00506EB6">
        <w:t>Release 1. Supersedes and is equivalent to PMBWELD303B Install polyethylene (non-pressure) drainage pipelines</w:t>
      </w:r>
    </w:p>
    <w:p w:rsidR="00000000" w:rsidRPr="00506EB6" w:rsidP="00506EB6">
      <w:pPr>
        <w:pStyle w:val="AllowPageBreak"/>
      </w:pPr>
    </w:p>
    <w:p w:rsidR="00000000" w:rsidRPr="00506EB6" w:rsidP="00506EB6">
      <w:pPr>
        <w:pStyle w:val="Heading1"/>
      </w:pPr>
      <w:bookmarkStart w:id="2" w:name="O_927803"/>
      <w:bookmarkEnd w:id="2"/>
      <w:r w:rsidRPr="00506EB6">
        <w:t>Performance Evidence</w:t>
      </w:r>
    </w:p>
    <w:p w:rsidR="00000000" w:rsidRPr="00506EB6" w:rsidP="00506EB6">
      <w:pPr>
        <w:pStyle w:val="BodyText"/>
      </w:pPr>
      <w:r w:rsidRPr="00506EB6">
        <w:t>Evidence required to demonstrate competence in this unit must be relevant to and satisfy the requirements of the elements and performance criteria and demonstrate the ability to:</w:t>
      </w:r>
    </w:p>
    <w:p w:rsidR="00000000" w:rsidRPr="00506EB6" w:rsidP="00506EB6">
      <w:pPr>
        <w:pStyle w:val="ListBullet"/>
      </w:pPr>
      <w:r w:rsidRPr="00506EB6">
        <w:t>read and interpret procedures, national standar</w:t>
      </w:r>
      <w:r w:rsidRPr="00506EB6">
        <w:t>ds, job specifications, material labels and safety data sheets (SDS)</w:t>
      </w:r>
    </w:p>
    <w:p w:rsidR="00000000" w:rsidRPr="00506EB6" w:rsidP="00506EB6">
      <w:pPr>
        <w:pStyle w:val="ListBullet"/>
      </w:pPr>
      <w:r w:rsidRPr="00506EB6">
        <w:t>identify materials as polyethylene (PE) grades</w:t>
      </w:r>
    </w:p>
    <w:p w:rsidR="00000000" w:rsidRPr="00506EB6" w:rsidP="00506EB6">
      <w:pPr>
        <w:pStyle w:val="ListBullet"/>
      </w:pPr>
      <w:r w:rsidRPr="00506EB6">
        <w:t>identify alternative jointing methods appropriate to the materials</w:t>
      </w:r>
    </w:p>
    <w:p w:rsidR="00000000" w:rsidRPr="00506EB6" w:rsidP="00506EB6">
      <w:pPr>
        <w:pStyle w:val="ListBullet"/>
      </w:pPr>
      <w:r w:rsidRPr="00506EB6">
        <w:t>select and perform mechanical and chemical jointing methods to meet speci</w:t>
      </w:r>
      <w:r w:rsidRPr="00506EB6">
        <w:t xml:space="preserve">fications </w:t>
      </w:r>
    </w:p>
    <w:p w:rsidR="00000000" w:rsidRPr="00506EB6" w:rsidP="00506EB6">
      <w:pPr>
        <w:pStyle w:val="ListBullet"/>
      </w:pPr>
      <w:r w:rsidRPr="00506EB6">
        <w:t xml:space="preserve">perform trial jointing </w:t>
      </w:r>
    </w:p>
    <w:p w:rsidR="00000000" w:rsidRPr="00506EB6" w:rsidP="00506EB6">
      <w:pPr>
        <w:pStyle w:val="ListBullet"/>
      </w:pPr>
      <w:r w:rsidRPr="00506EB6">
        <w:t>monitor key variables, including:</w:t>
      </w:r>
    </w:p>
    <w:p w:rsidR="00000000" w:rsidRPr="00506EB6" w:rsidP="00506EB6">
      <w:pPr>
        <w:pStyle w:val="ListBullet2"/>
      </w:pPr>
      <w:r w:rsidRPr="00506EB6">
        <w:t>alignment</w:t>
      </w:r>
    </w:p>
    <w:p w:rsidR="00000000" w:rsidRPr="00506EB6" w:rsidP="00506EB6">
      <w:pPr>
        <w:pStyle w:val="ListBullet2"/>
      </w:pPr>
      <w:r w:rsidRPr="00506EB6">
        <w:t>materials and conditions for joint</w:t>
      </w:r>
    </w:p>
    <w:p w:rsidR="00000000" w:rsidRPr="00506EB6" w:rsidP="00506EB6">
      <w:pPr>
        <w:pStyle w:val="ListBullet2"/>
      </w:pPr>
      <w:r w:rsidRPr="00506EB6">
        <w:t>integrity of joint</w:t>
      </w:r>
    </w:p>
    <w:p w:rsidR="00000000" w:rsidRPr="00506EB6" w:rsidP="00506EB6">
      <w:pPr>
        <w:pStyle w:val="ListBullet2"/>
      </w:pPr>
      <w:r w:rsidRPr="00506EB6">
        <w:t>general conformance to specification</w:t>
      </w:r>
    </w:p>
    <w:p w:rsidR="00000000" w:rsidRPr="00506EB6" w:rsidP="00506EB6">
      <w:pPr>
        <w:pStyle w:val="ListBullet"/>
      </w:pPr>
      <w:r w:rsidRPr="00506EB6">
        <w:t>determine service connection requirements and make connections</w:t>
      </w:r>
    </w:p>
    <w:p w:rsidR="00000000" w:rsidRPr="00506EB6" w:rsidP="00506EB6">
      <w:pPr>
        <w:pStyle w:val="ListBullet"/>
      </w:pPr>
      <w:r w:rsidRPr="00506EB6">
        <w:t>determine repair requirements and make repairs</w:t>
      </w:r>
    </w:p>
    <w:p w:rsidR="00000000" w:rsidRPr="00506EB6" w:rsidP="00506EB6">
      <w:pPr>
        <w:pStyle w:val="ListBullet"/>
      </w:pPr>
      <w:r w:rsidRPr="00506EB6">
        <w:t xml:space="preserve">assess quality of completed installation </w:t>
      </w:r>
    </w:p>
    <w:p w:rsidR="00000000" w:rsidRPr="00506EB6" w:rsidP="00506EB6">
      <w:pPr>
        <w:pStyle w:val="ListBullet"/>
      </w:pPr>
      <w:r w:rsidRPr="00506EB6">
        <w:t xml:space="preserve">make adjustments to remedy faults and non-conformity </w:t>
      </w:r>
    </w:p>
    <w:p w:rsidR="00000000" w:rsidRPr="00506EB6" w:rsidP="00506EB6">
      <w:pPr>
        <w:pStyle w:val="ListBullet"/>
      </w:pPr>
      <w:r w:rsidRPr="00506EB6">
        <w:t>determine appropriate methods of handling, storage and transport of PE plastics components</w:t>
      </w:r>
    </w:p>
    <w:p w:rsidR="00000000" w:rsidRPr="00506EB6" w:rsidP="00506EB6">
      <w:pPr>
        <w:pStyle w:val="ListBullet"/>
      </w:pPr>
      <w:r w:rsidRPr="00506EB6">
        <w:t>identify hazards and a</w:t>
      </w:r>
      <w:r w:rsidRPr="00506EB6">
        <w:t>pply relevant hazard controls</w:t>
      </w:r>
    </w:p>
    <w:p w:rsidR="00000000" w:rsidRPr="00506EB6" w:rsidP="00506EB6">
      <w:pPr>
        <w:pStyle w:val="ListBullet"/>
      </w:pPr>
      <w:r w:rsidRPr="00506EB6">
        <w:t>apply safety procedures</w:t>
      </w:r>
    </w:p>
    <w:p w:rsidR="00000000" w:rsidRPr="00506EB6" w:rsidP="00506EB6">
      <w:pPr>
        <w:pStyle w:val="ListBullet"/>
      </w:pPr>
      <w:r w:rsidRPr="00506EB6">
        <w:t>apply housekeeping procedures</w:t>
      </w:r>
    </w:p>
    <w:p w:rsidR="00000000" w:rsidRPr="00506EB6" w:rsidP="00506EB6">
      <w:pPr>
        <w:pStyle w:val="ListBullet"/>
      </w:pPr>
      <w:r w:rsidRPr="00506EB6">
        <w:t>apply waste management procedures</w:t>
      </w:r>
    </w:p>
    <w:p w:rsidR="00000000" w:rsidRPr="00506EB6" w:rsidP="00506EB6">
      <w:pPr>
        <w:pStyle w:val="ListBullet"/>
      </w:pPr>
      <w:r w:rsidRPr="00506EB6">
        <w:t>recognise early warning signs of equipment/processes needing attention or with potential problems</w:t>
      </w:r>
    </w:p>
    <w:p w:rsidR="00000000" w:rsidRPr="00506EB6" w:rsidP="00506EB6">
      <w:pPr>
        <w:pStyle w:val="ListBullet"/>
      </w:pPr>
      <w:r w:rsidRPr="00506EB6">
        <w:t xml:space="preserve">distinguish between causes of problems, </w:t>
      </w:r>
      <w:r w:rsidRPr="00506EB6">
        <w:t>including:</w:t>
      </w:r>
    </w:p>
    <w:p w:rsidR="00000000" w:rsidRPr="00506EB6" w:rsidP="00506EB6">
      <w:pPr>
        <w:pStyle w:val="ListBullet2"/>
      </w:pPr>
      <w:r w:rsidRPr="00506EB6">
        <w:t>operational problems</w:t>
      </w:r>
    </w:p>
    <w:p w:rsidR="00000000" w:rsidRPr="00506EB6" w:rsidP="00506EB6">
      <w:pPr>
        <w:pStyle w:val="ListBullet2"/>
      </w:pPr>
      <w:r w:rsidRPr="00506EB6">
        <w:t xml:space="preserve">materials properties </w:t>
      </w:r>
    </w:p>
    <w:p w:rsidR="00000000" w:rsidRPr="00506EB6" w:rsidP="00506EB6">
      <w:pPr>
        <w:pStyle w:val="ListBullet2"/>
      </w:pPr>
      <w:r w:rsidRPr="00506EB6">
        <w:t xml:space="preserve">process variables </w:t>
      </w:r>
    </w:p>
    <w:p w:rsidR="00000000" w:rsidRPr="00506EB6" w:rsidP="00506EB6">
      <w:pPr>
        <w:pStyle w:val="ListBullet2"/>
      </w:pPr>
      <w:r w:rsidRPr="00506EB6">
        <w:t xml:space="preserve">procedural errors </w:t>
      </w:r>
    </w:p>
    <w:p w:rsidR="00000000" w:rsidRPr="00506EB6" w:rsidP="00506EB6">
      <w:pPr>
        <w:pStyle w:val="ListBullet"/>
      </w:pPr>
      <w:r w:rsidRPr="00506EB6">
        <w:t>recognise and prioritise problems requiring action</w:t>
      </w:r>
    </w:p>
    <w:p w:rsidR="00000000" w:rsidRPr="00506EB6" w:rsidP="00506EB6">
      <w:pPr>
        <w:pStyle w:val="ListBullet"/>
      </w:pPr>
      <w:r w:rsidRPr="00506EB6">
        <w:t xml:space="preserve">resolve routine and non-routine problems </w:t>
      </w:r>
    </w:p>
    <w:p w:rsidR="00000000" w:rsidRPr="00506EB6" w:rsidP="00506EB6">
      <w:pPr>
        <w:pStyle w:val="ListBullet"/>
      </w:pPr>
      <w:r w:rsidRPr="00506EB6">
        <w:t>communicate effectively with team/work group and supervisors</w:t>
      </w:r>
    </w:p>
    <w:p w:rsidR="00000000" w:rsidRPr="00506EB6" w:rsidP="00506EB6">
      <w:pPr>
        <w:pStyle w:val="ListBullet"/>
      </w:pPr>
      <w:r w:rsidRPr="00506EB6">
        <w:t>complete workplace records</w:t>
      </w:r>
    </w:p>
    <w:p w:rsidR="00000000" w:rsidRPr="00506EB6" w:rsidP="00506EB6">
      <w:pPr>
        <w:pStyle w:val="ListBullet"/>
      </w:pPr>
      <w:r w:rsidRPr="00506EB6">
        <w:t>do basic calculations including additions, subtractions, divisions, fractions, percentages.</w:t>
      </w:r>
    </w:p>
    <w:p w:rsidR="00000000" w:rsidRPr="00506EB6" w:rsidP="00506EB6">
      <w:pPr>
        <w:pStyle w:val="AllowPageBreak"/>
      </w:pPr>
    </w:p>
    <w:p w:rsidR="00000000" w:rsidRPr="00506EB6" w:rsidP="00506EB6">
      <w:pPr>
        <w:pStyle w:val="Heading1"/>
      </w:pPr>
      <w:bookmarkStart w:id="3" w:name="O_927802"/>
      <w:bookmarkEnd w:id="3"/>
      <w:r w:rsidRPr="00506EB6">
        <w:t>Knowledge Evidence</w:t>
      </w:r>
    </w:p>
    <w:p w:rsidR="00000000" w:rsidRPr="00506EB6" w:rsidP="00506EB6">
      <w:pPr>
        <w:pStyle w:val="BodyText"/>
      </w:pPr>
      <w:r w:rsidRPr="00506EB6">
        <w:t>Evidence required to demonstrate competence in this unit must be relevant to and satisfy the requirem</w:t>
      </w:r>
      <w:r w:rsidRPr="00506EB6">
        <w:t>ents of the elements and performance criteria and demonstrate knowledge of:</w:t>
      </w:r>
    </w:p>
    <w:p w:rsidR="00000000" w:rsidRPr="00506EB6" w:rsidP="00506EB6">
      <w:pPr>
        <w:pStyle w:val="ListBullet"/>
      </w:pPr>
      <w:r w:rsidRPr="00506EB6">
        <w:t>safe working requirements</w:t>
      </w:r>
    </w:p>
    <w:p w:rsidR="00000000" w:rsidRPr="00506EB6" w:rsidP="00506EB6">
      <w:pPr>
        <w:pStyle w:val="ListBullet"/>
      </w:pPr>
      <w:r w:rsidRPr="00506EB6">
        <w:t>types of materials and components being used</w:t>
      </w:r>
    </w:p>
    <w:p w:rsidR="00000000" w:rsidRPr="00506EB6" w:rsidP="00506EB6">
      <w:pPr>
        <w:pStyle w:val="ListBullet"/>
      </w:pPr>
      <w:r w:rsidRPr="00506EB6">
        <w:t xml:space="preserve">range of methods relevant to types of materials/components for: </w:t>
      </w:r>
    </w:p>
    <w:p w:rsidR="00000000" w:rsidRPr="00506EB6" w:rsidP="00506EB6">
      <w:pPr>
        <w:pStyle w:val="ListBullet2"/>
      </w:pPr>
      <w:r w:rsidRPr="00506EB6">
        <w:t xml:space="preserve">mechanical jointing </w:t>
      </w:r>
    </w:p>
    <w:p w:rsidR="00000000" w:rsidRPr="00506EB6" w:rsidP="00506EB6">
      <w:pPr>
        <w:pStyle w:val="ListBullet2"/>
      </w:pPr>
      <w:r w:rsidRPr="00506EB6">
        <w:t>chemical bonding</w:t>
      </w:r>
    </w:p>
    <w:p w:rsidR="00000000" w:rsidRPr="00506EB6" w:rsidP="00506EB6">
      <w:pPr>
        <w:pStyle w:val="ListBullet2"/>
      </w:pPr>
      <w:r w:rsidRPr="00506EB6">
        <w:t>service connections</w:t>
      </w:r>
    </w:p>
    <w:p w:rsidR="00000000" w:rsidRPr="00506EB6" w:rsidP="00506EB6">
      <w:pPr>
        <w:pStyle w:val="ListBullet2"/>
      </w:pPr>
      <w:r w:rsidRPr="00506EB6">
        <w:t>repairs</w:t>
      </w:r>
    </w:p>
    <w:p w:rsidR="00000000" w:rsidRPr="00506EB6" w:rsidP="00506EB6">
      <w:pPr>
        <w:pStyle w:val="ListBullet"/>
      </w:pPr>
      <w:r w:rsidRPr="00506EB6">
        <w:t>factors which may affect product quality or production output and appropriate remedies</w:t>
      </w:r>
    </w:p>
    <w:p w:rsidR="00000000" w:rsidRPr="00506EB6" w:rsidP="00506EB6">
      <w:pPr>
        <w:pStyle w:val="ListBullet"/>
      </w:pPr>
      <w:r w:rsidRPr="00506EB6">
        <w:t>storage, handling, and transport procedures for PE equipment</w:t>
      </w:r>
    </w:p>
    <w:p w:rsidR="00000000" w:rsidRPr="00506EB6" w:rsidP="00506EB6">
      <w:pPr>
        <w:pStyle w:val="ListBullet"/>
      </w:pPr>
      <w:r w:rsidRPr="00506EB6">
        <w:t xml:space="preserve">quality requirements and tests </w:t>
      </w:r>
    </w:p>
    <w:p w:rsidR="00000000" w:rsidRPr="00506EB6" w:rsidP="00506EB6">
      <w:pPr>
        <w:pStyle w:val="ListBullet"/>
      </w:pPr>
      <w:r w:rsidRPr="00506EB6">
        <w:t>routine and non-routine problems that may arise</w:t>
      </w:r>
      <w:r w:rsidRPr="00506EB6">
        <w:t>, the range of possible causes and appropriate actions</w:t>
      </w:r>
    </w:p>
    <w:p w:rsidR="00000000" w:rsidRPr="00506EB6" w:rsidP="00506EB6">
      <w:pPr>
        <w:pStyle w:val="ListBullet"/>
      </w:pPr>
      <w:r w:rsidRPr="00506EB6">
        <w:t>organisation procedures relevant to the work environment/job role</w:t>
      </w:r>
    </w:p>
    <w:p w:rsidR="00000000" w:rsidRPr="00506EB6" w:rsidP="00506EB6">
      <w:pPr>
        <w:pStyle w:val="ListBullet"/>
      </w:pPr>
      <w:r w:rsidRPr="00506EB6">
        <w:t>hierarchy of control</w:t>
      </w:r>
    </w:p>
    <w:p w:rsidR="00000000" w:rsidRPr="00506EB6" w:rsidP="00506EB6">
      <w:pPr>
        <w:pStyle w:val="ListBullet"/>
      </w:pPr>
      <w:r w:rsidRPr="00506EB6">
        <w:t>hazards that may arise in the job/work environment the range of possible causes, potential consequences and approp</w:t>
      </w:r>
      <w:r w:rsidRPr="00506EB6">
        <w:t>riate risk controls.</w:t>
      </w:r>
    </w:p>
    <w:p w:rsidR="00000000" w:rsidRPr="00506EB6" w:rsidP="00506EB6">
      <w:pPr>
        <w:pStyle w:val="AllowPageBreak"/>
      </w:pPr>
    </w:p>
    <w:p w:rsidR="00000000" w:rsidRPr="00506EB6" w:rsidP="00506EB6">
      <w:pPr>
        <w:pStyle w:val="Heading1"/>
      </w:pPr>
      <w:bookmarkStart w:id="4" w:name="O_927801"/>
      <w:bookmarkEnd w:id="4"/>
      <w:r w:rsidRPr="00506EB6">
        <w:t>Assessment Conditions</w:t>
      </w:r>
    </w:p>
    <w:p w:rsidR="00000000" w:rsidRPr="00506EB6" w:rsidP="00506EB6">
      <w:pPr>
        <w:pStyle w:val="ListBullet"/>
      </w:pPr>
      <w:r w:rsidRPr="00506EB6">
        <w:t xml:space="preserve">The unit should be assessed holistically and the judgement of competence shall be based on a holistic assessment of the evidence. </w:t>
      </w:r>
    </w:p>
    <w:p w:rsidR="00000000" w:rsidRPr="00506EB6" w:rsidP="00506EB6">
      <w:pPr>
        <w:pStyle w:val="ListBullet"/>
      </w:pPr>
      <w:r w:rsidRPr="00506EB6">
        <w:t>The collection of performance evidence:</w:t>
      </w:r>
    </w:p>
    <w:p w:rsidR="00000000" w:rsidRPr="00506EB6" w:rsidP="00506EB6">
      <w:pPr>
        <w:pStyle w:val="ListBullet2"/>
      </w:pPr>
      <w:r w:rsidRPr="00506EB6">
        <w:t xml:space="preserve">should occur over a range of situations </w:t>
      </w:r>
    </w:p>
    <w:p w:rsidR="00000000" w:rsidRPr="00506EB6" w:rsidP="00506EB6">
      <w:pPr>
        <w:pStyle w:val="ListBullet2"/>
      </w:pPr>
      <w:r w:rsidRPr="00506EB6">
        <w:t>will typically include a supervisor/third-party report or other evidence, focusing on consistent performance and problem recognition and solving. A supervisor/third-party report must be prepared by someone who has a</w:t>
      </w:r>
      <w:r w:rsidRPr="00506EB6">
        <w:t xml:space="preserve"> direct, relevant, current relationship with the person being assessed and who is in a position to form a judgement on workplace performance relevant to the unit of competency </w:t>
      </w:r>
    </w:p>
    <w:p w:rsidR="00000000" w:rsidRPr="00506EB6" w:rsidP="00506EB6">
      <w:pPr>
        <w:pStyle w:val="ListBullet2"/>
      </w:pPr>
      <w:r w:rsidRPr="00506EB6">
        <w:t>must include the use of appropriate industrial equipment requiring demonstratio</w:t>
      </w:r>
      <w:r w:rsidRPr="00506EB6">
        <w:t>n of operation, start and stop procedures and responding to problems</w:t>
      </w:r>
    </w:p>
    <w:p w:rsidR="00000000" w:rsidRPr="00506EB6" w:rsidP="00506EB6">
      <w:pPr>
        <w:pStyle w:val="ListBullet2"/>
      </w:pPr>
      <w:r w:rsidRPr="00506EB6">
        <w:t>may use industry-based simulation for all or part of the unit particularly where safety, lack of opportunity or significant cost is an issue.</w:t>
      </w:r>
    </w:p>
    <w:p w:rsidR="00000000" w:rsidRPr="00506EB6" w:rsidP="00506EB6">
      <w:pPr>
        <w:pStyle w:val="ListBullet"/>
      </w:pPr>
      <w:r w:rsidRPr="00506EB6">
        <w:t>Assessment should occur in operational workp</w:t>
      </w:r>
      <w:r w:rsidRPr="00506EB6">
        <w:t>lace situations. Where this is not possible or where personal safety or environmental damage are limiting factors assessment must occur in a sufficiently rigorous simulated environment that reflects realistic operational workplace conditions. This must cov</w:t>
      </w:r>
      <w:r w:rsidRPr="00506EB6">
        <w:t xml:space="preserve">er all aspects of workplace performance, including environment, task skills, task management skills, contingency management skills and job role environment skills.  </w:t>
      </w:r>
    </w:p>
    <w:p w:rsidR="00000000" w:rsidRPr="00506EB6" w:rsidP="00506EB6">
      <w:pPr>
        <w:pStyle w:val="ListBullet"/>
      </w:pPr>
      <w:r w:rsidRPr="00506EB6">
        <w:t>Knowledge evidence may be collected concurrently with performance evidence or through an i</w:t>
      </w:r>
      <w:r w:rsidRPr="00506EB6">
        <w:t>ndependent process, such as workbooks, written assessments or interviews.</w:t>
      </w:r>
    </w:p>
    <w:p w:rsidR="00000000" w:rsidRPr="00506EB6" w:rsidP="00506EB6">
      <w:pPr>
        <w:pStyle w:val="ListBullet"/>
      </w:pPr>
      <w:r w:rsidRPr="00506EB6">
        <w:t>Assessment processes and techniques must be appropriate to the language, literacy and numeracy requirements of the work being performed and the needs of the candidate.</w:t>
      </w:r>
    </w:p>
    <w:p w:rsidR="00000000" w:rsidRPr="00506EB6" w:rsidP="00506EB6">
      <w:pPr>
        <w:pStyle w:val="ListBullet"/>
      </w:pPr>
      <w:r w:rsidRPr="00506EB6">
        <w:t>Conditions for</w:t>
      </w:r>
      <w:r w:rsidRPr="00506EB6">
        <w:t xml:space="preserve"> assessment must include access to all tools, equipment, materials and documentation required, including relevant workplace procedures, product and manufacturing specifications associated with this unit.</w:t>
      </w:r>
    </w:p>
    <w:p w:rsidR="00000000" w:rsidRPr="00506EB6" w:rsidP="00506EB6">
      <w:pPr>
        <w:pStyle w:val="ListBullet"/>
      </w:pPr>
      <w:r w:rsidRPr="00506EB6">
        <w:t>The regulatory framework will be reflected in workpl</w:t>
      </w:r>
      <w:r w:rsidRPr="00506EB6">
        <w:t>ace policies and procedures and is not required to be independently assessed.</w:t>
      </w:r>
    </w:p>
    <w:p w:rsidR="00000000" w:rsidRPr="00506EB6" w:rsidP="00506EB6">
      <w:pPr>
        <w:pStyle w:val="ListBullet"/>
      </w:pPr>
      <w:r w:rsidRPr="00506EB6">
        <w:t>Foundation skills are integral to competent performance of the unit and should not be assessed separately.</w:t>
      </w:r>
    </w:p>
    <w:p w:rsidR="00000000" w:rsidRPr="00506EB6" w:rsidP="00506EB6">
      <w:pPr>
        <w:pStyle w:val="ListBullet"/>
      </w:pPr>
      <w:r w:rsidRPr="00506EB6">
        <w:t>Assessors must satisfy the assessor competency requirements that are in place at the time of the assessment as set by the VET regulator.</w:t>
      </w:r>
    </w:p>
    <w:p w:rsidR="00000000" w:rsidRPr="00506EB6" w:rsidP="00506EB6">
      <w:pPr>
        <w:pStyle w:val="ListBullet"/>
      </w:pPr>
      <w:r w:rsidRPr="00506EB6">
        <w:t xml:space="preserve">In addition the assessor or anyone acting in subject matter expert role in assessment shall demonstrate both technical </w:t>
      </w:r>
      <w:r w:rsidRPr="00506EB6">
        <w:t xml:space="preserve">competency and currency. If the assessor cannot demonstrate technical competency and currency they shall assess with a subject matter expert who does meet these requirements. </w:t>
      </w:r>
    </w:p>
    <w:p w:rsidR="00000000" w:rsidRPr="00506EB6" w:rsidP="00506EB6">
      <w:pPr>
        <w:pStyle w:val="ListBullet"/>
      </w:pPr>
      <w:r w:rsidRPr="00506EB6">
        <w:t>Technical competence can be demonstrated through one or more of:</w:t>
      </w:r>
    </w:p>
    <w:p w:rsidR="00000000" w:rsidRPr="00506EB6" w:rsidP="00506EB6">
      <w:pPr>
        <w:pStyle w:val="ListBullet2"/>
      </w:pPr>
      <w:r w:rsidRPr="00506EB6">
        <w:t>relevant VET o</w:t>
      </w:r>
      <w:r w:rsidRPr="00506EB6">
        <w:t xml:space="preserve">r other qualification/Statement of Attainment </w:t>
      </w:r>
    </w:p>
    <w:p w:rsidR="00000000" w:rsidRPr="00506EB6" w:rsidP="00506EB6">
      <w:pPr>
        <w:pStyle w:val="ListBullet2"/>
      </w:pPr>
      <w:r w:rsidRPr="00506EB6">
        <w:t xml:space="preserve">appropriate workplace experience </w:t>
      </w:r>
    </w:p>
    <w:p w:rsidR="00000000" w:rsidRPr="00506EB6" w:rsidP="00506EB6">
      <w:pPr>
        <w:pStyle w:val="ListBullet2"/>
      </w:pPr>
      <w:r w:rsidRPr="00506EB6">
        <w:t xml:space="preserve">appropriate workplace experience supervising/evaluating the type of work being assessed </w:t>
      </w:r>
    </w:p>
    <w:p w:rsidR="00000000" w:rsidRPr="00506EB6" w:rsidP="00506EB6">
      <w:pPr>
        <w:pStyle w:val="ListBullet"/>
      </w:pPr>
      <w:r w:rsidRPr="00506EB6">
        <w:t>Currency can be demonstrated through one or more of:</w:t>
      </w:r>
    </w:p>
    <w:p w:rsidR="00000000" w:rsidRPr="00506EB6" w:rsidP="00506EB6">
      <w:pPr>
        <w:pStyle w:val="ListBullet2"/>
      </w:pPr>
      <w:r w:rsidRPr="00506EB6">
        <w:t>being currently employed undert</w:t>
      </w:r>
      <w:r w:rsidRPr="00506EB6">
        <w:t xml:space="preserve">aking the type of work being assessed </w:t>
      </w:r>
    </w:p>
    <w:p w:rsidR="00000000" w:rsidRPr="00506EB6" w:rsidP="00506EB6">
      <w:pPr>
        <w:pStyle w:val="ListBullet2"/>
      </w:pPr>
      <w:r w:rsidRPr="00506EB6">
        <w:t xml:space="preserve">being employed by the organisation undertaking the type of work being assessed and having maintained currency </w:t>
      </w:r>
    </w:p>
    <w:p w:rsidR="00000000" w:rsidRPr="00506EB6" w:rsidP="00506EB6">
      <w:pPr>
        <w:pStyle w:val="ListBullet2"/>
      </w:pPr>
      <w:r w:rsidRPr="00506EB6">
        <w:t>having consulted/had contact with an organisation undertaking the type of work being assessed within the l</w:t>
      </w:r>
      <w:r w:rsidRPr="00506EB6">
        <w:t xml:space="preserve">ast twelve months, the consultation/contact being related to assessment </w:t>
      </w:r>
    </w:p>
    <w:p w:rsidR="00000000" w:rsidRPr="00506EB6" w:rsidP="00506EB6">
      <w:pPr>
        <w:pStyle w:val="ListBullet2"/>
      </w:pPr>
      <w:r w:rsidRPr="00506EB6">
        <w:t>conducting on the job training/assessments of the type of work being assessed.</w:t>
      </w:r>
    </w:p>
    <w:p w:rsidR="00000000" w:rsidRPr="00506EB6" w:rsidP="00506EB6">
      <w:pPr>
        <w:pStyle w:val="AllowPageBreak"/>
      </w:pPr>
    </w:p>
    <w:p w:rsidR="00000000" w:rsidRPr="00506EB6" w:rsidP="00506EB6">
      <w:pPr>
        <w:pStyle w:val="Heading1"/>
      </w:pPr>
      <w:bookmarkStart w:id="5" w:name="O_927799"/>
      <w:bookmarkEnd w:id="5"/>
      <w:r w:rsidRPr="00506EB6">
        <w:t>Links</w:t>
      </w:r>
    </w:p>
    <w:p w:rsidR="00000000" w:rsidRPr="00506EB6" w:rsidP="00506EB6">
      <w:pPr>
        <w:pStyle w:val="BodyText"/>
      </w:pPr>
      <w:r w:rsidRPr="00506EB6">
        <w:t>MSA Training Package Implementation Guides - http://mskills.org.au/training-packages/info/</w:t>
      </w:r>
    </w:p>
    <w:p w:rsidR="00000000" w:rsidRPr="00506EB6" w:rsidP="00506EB6"/>
    <w:sectPr w:rsidSect="00506E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6" w:rsidRPr="00E83140" w:rsidP="00E83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40" w:rsidP="00506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140" w:rsidP="00506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83140" w:rsidP="00506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6" w:rsidRPr="00E83140" w:rsidP="00E8314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140" w:rsidRPr="002D2AF8" w:rsidP="00506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PMBWELD303 Install polyethylene (non-pressure) drainage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83140" w:rsidP="00506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627A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F6D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7A3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EB6"/>
  </w:style>
  <w:style w:type="character" w:customStyle="1" w:styleId="Heading1Char">
    <w:name w:val="Heading 1 Char"/>
    <w:basedOn w:val="DefaultParagraphFont"/>
    <w:link w:val="Heading1"/>
    <w:rsid w:val="00506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E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EB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6E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EB6"/>
    <w:rPr>
      <w:b/>
      <w:spacing w:val="0"/>
    </w:rPr>
  </w:style>
  <w:style w:type="paragraph" w:customStyle="1" w:styleId="SuperTitle">
    <w:name w:val="SuperTitle"/>
    <w:basedOn w:val="Title"/>
    <w:rsid w:val="00506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EB6"/>
    <w:rPr>
      <w:i/>
    </w:rPr>
  </w:style>
  <w:style w:type="paragraph" w:styleId="Caption">
    <w:name w:val="caption"/>
    <w:basedOn w:val="BodyText"/>
    <w:next w:val="Normal"/>
    <w:qFormat/>
    <w:rsid w:val="00506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EB6"/>
  </w:style>
  <w:style w:type="paragraph" w:styleId="TableofFigures">
    <w:name w:val="table of figures"/>
    <w:basedOn w:val="Normal"/>
    <w:next w:val="Normal"/>
    <w:semiHidden/>
    <w:rsid w:val="00506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EB6"/>
    <w:pPr>
      <w:numPr>
        <w:numId w:val="11"/>
      </w:numPr>
    </w:pPr>
  </w:style>
  <w:style w:type="character" w:customStyle="1" w:styleId="WingdingSymbols">
    <w:name w:val="Wingding Symbols"/>
    <w:rsid w:val="00506EB6"/>
    <w:rPr>
      <w:rFonts w:ascii="Wingdings" w:hAnsi="Wingdings"/>
    </w:rPr>
  </w:style>
  <w:style w:type="paragraph" w:customStyle="1" w:styleId="TableHeading">
    <w:name w:val="Table Heading"/>
    <w:basedOn w:val="HeadingBase"/>
    <w:rsid w:val="00506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EB6"/>
    <w:rPr>
      <w:color w:val="0033CC"/>
      <w:u w:val="none"/>
    </w:rPr>
  </w:style>
  <w:style w:type="paragraph" w:customStyle="1" w:styleId="BodyTextRight">
    <w:name w:val="Body Text Right"/>
    <w:basedOn w:val="BodyText"/>
    <w:rsid w:val="00506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E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EB6"/>
    <w:rPr>
      <w:sz w:val="32"/>
    </w:rPr>
  </w:style>
  <w:style w:type="paragraph" w:customStyle="1" w:styleId="HeadingProcedure">
    <w:name w:val="Heading Procedure"/>
    <w:basedOn w:val="HeadingBase"/>
    <w:next w:val="Normal"/>
    <w:rsid w:val="00506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EB6"/>
    <w:pPr>
      <w:spacing w:before="60" w:after="60"/>
    </w:pPr>
  </w:style>
  <w:style w:type="paragraph" w:styleId="ListContinue">
    <w:name w:val="List Continue"/>
    <w:basedOn w:val="List"/>
    <w:rsid w:val="00506EB6"/>
    <w:pPr>
      <w:ind w:firstLine="0"/>
    </w:pPr>
  </w:style>
  <w:style w:type="paragraph" w:customStyle="1" w:styleId="ListNote">
    <w:name w:val="List Note"/>
    <w:basedOn w:val="List"/>
    <w:rsid w:val="00506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EB6"/>
    <w:rPr>
      <w:rFonts w:ascii="Courier New" w:hAnsi="Courier New"/>
    </w:rPr>
  </w:style>
  <w:style w:type="paragraph" w:customStyle="1" w:styleId="NoteBullet">
    <w:name w:val="Note Bullet"/>
    <w:basedOn w:val="Note"/>
    <w:rsid w:val="00506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E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6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EB6"/>
    <w:rPr>
      <w:b/>
      <w:smallCaps/>
    </w:rPr>
  </w:style>
  <w:style w:type="paragraph" w:customStyle="1" w:styleId="TableListNumber">
    <w:name w:val="Table List Number"/>
    <w:basedOn w:val="ListNumber"/>
    <w:rsid w:val="00506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EB6"/>
    <w:pPr>
      <w:numPr>
        <w:numId w:val="9"/>
      </w:numPr>
    </w:pPr>
  </w:style>
  <w:style w:type="paragraph" w:customStyle="1" w:styleId="ListAlpha2">
    <w:name w:val="List Alpha 2"/>
    <w:basedOn w:val="List2"/>
    <w:rsid w:val="00506EB6"/>
    <w:pPr>
      <w:numPr>
        <w:numId w:val="8"/>
      </w:numPr>
    </w:pPr>
  </w:style>
  <w:style w:type="paragraph" w:styleId="List2">
    <w:name w:val="List 2"/>
    <w:basedOn w:val="BodyText"/>
    <w:rsid w:val="00506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EB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E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EB6"/>
    <w:pPr>
      <w:numPr>
        <w:numId w:val="4"/>
      </w:numPr>
    </w:pPr>
  </w:style>
  <w:style w:type="paragraph" w:styleId="ListContinue2">
    <w:name w:val="List Continue 2"/>
    <w:basedOn w:val="List2"/>
    <w:rsid w:val="00506EB6"/>
    <w:pPr>
      <w:ind w:firstLine="0"/>
    </w:pPr>
  </w:style>
  <w:style w:type="paragraph" w:styleId="ListContinue3">
    <w:name w:val="List Continue 3"/>
    <w:basedOn w:val="List3"/>
    <w:rsid w:val="00506EB6"/>
    <w:pPr>
      <w:ind w:left="1021" w:firstLine="0"/>
    </w:pPr>
  </w:style>
  <w:style w:type="paragraph" w:styleId="ListContinue4">
    <w:name w:val="List Continue 4"/>
    <w:basedOn w:val="List4"/>
    <w:rsid w:val="00506EB6"/>
    <w:pPr>
      <w:ind w:firstLine="0"/>
    </w:pPr>
  </w:style>
  <w:style w:type="paragraph" w:styleId="ListContinue5">
    <w:name w:val="List Continue 5"/>
    <w:basedOn w:val="List5"/>
    <w:rsid w:val="00506EB6"/>
    <w:pPr>
      <w:ind w:firstLine="0"/>
    </w:pPr>
  </w:style>
  <w:style w:type="paragraph" w:styleId="ListNumber3">
    <w:name w:val="List Number 3"/>
    <w:basedOn w:val="List3"/>
    <w:rsid w:val="00506EB6"/>
    <w:pPr>
      <w:numPr>
        <w:numId w:val="5"/>
      </w:numPr>
    </w:pPr>
  </w:style>
  <w:style w:type="paragraph" w:styleId="ListNumber4">
    <w:name w:val="List Number 4"/>
    <w:basedOn w:val="List4"/>
    <w:rsid w:val="00506EB6"/>
    <w:pPr>
      <w:numPr>
        <w:numId w:val="6"/>
      </w:numPr>
    </w:pPr>
  </w:style>
  <w:style w:type="paragraph" w:styleId="ListNumber5">
    <w:name w:val="List Number 5"/>
    <w:basedOn w:val="List5"/>
    <w:rsid w:val="00506EB6"/>
    <w:pPr>
      <w:numPr>
        <w:numId w:val="7"/>
      </w:numPr>
    </w:pPr>
  </w:style>
  <w:style w:type="paragraph" w:styleId="BlockText">
    <w:name w:val="Block Text"/>
    <w:basedOn w:val="Normal"/>
    <w:rsid w:val="00506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EB6"/>
    <w:rPr>
      <w:sz w:val="16"/>
      <w:vertAlign w:val="superscript"/>
    </w:rPr>
  </w:style>
  <w:style w:type="character" w:customStyle="1" w:styleId="Symbols">
    <w:name w:val="Symbols"/>
    <w:basedOn w:val="DefaultParagraphFont"/>
    <w:rsid w:val="00506EB6"/>
    <w:rPr>
      <w:rFonts w:ascii="Symbol" w:hAnsi="Symbol"/>
    </w:rPr>
  </w:style>
  <w:style w:type="character" w:customStyle="1" w:styleId="MenuOptions">
    <w:name w:val="Menu Options"/>
    <w:basedOn w:val="DefaultParagraphFont"/>
    <w:rsid w:val="00506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EB6"/>
    <w:rPr>
      <w:b/>
    </w:rPr>
  </w:style>
  <w:style w:type="character" w:customStyle="1" w:styleId="Underlined">
    <w:name w:val="Underlined"/>
    <w:basedOn w:val="DefaultParagraphFont"/>
    <w:rsid w:val="00506EB6"/>
    <w:rPr>
      <w:u w:val="single"/>
    </w:rPr>
  </w:style>
  <w:style w:type="paragraph" w:customStyle="1" w:styleId="TableBodyTextRight">
    <w:name w:val="Table Body Text Right"/>
    <w:basedOn w:val="TableBodyText"/>
    <w:rsid w:val="00506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EB6"/>
    <w:rPr>
      <w:sz w:val="18"/>
    </w:rPr>
  </w:style>
  <w:style w:type="paragraph" w:customStyle="1" w:styleId="BodySmallRight">
    <w:name w:val="Body Small Right"/>
    <w:basedOn w:val="BodyTextRight"/>
    <w:rsid w:val="00506EB6"/>
    <w:rPr>
      <w:sz w:val="18"/>
      <w:szCs w:val="18"/>
    </w:rPr>
  </w:style>
  <w:style w:type="paragraph" w:customStyle="1" w:styleId="MarginEdition">
    <w:name w:val="Margin Edition"/>
    <w:basedOn w:val="MarginNote"/>
    <w:rsid w:val="00506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EB6"/>
    <w:rPr>
      <w:sz w:val="2"/>
      <w:szCs w:val="2"/>
    </w:rPr>
  </w:style>
  <w:style w:type="character" w:customStyle="1" w:styleId="Small">
    <w:name w:val="Small"/>
    <w:basedOn w:val="DefaultParagraphFont"/>
    <w:rsid w:val="00506EB6"/>
    <w:rPr>
      <w:sz w:val="16"/>
    </w:rPr>
  </w:style>
  <w:style w:type="paragraph" w:customStyle="1" w:styleId="WideTable">
    <w:name w:val="Wide Table"/>
    <w:basedOn w:val="Normal"/>
    <w:rsid w:val="00506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EB6"/>
  </w:style>
  <w:style w:type="paragraph" w:styleId="Quote">
    <w:name w:val="Quote"/>
    <w:basedOn w:val="Heading1"/>
    <w:link w:val="QuoteChar"/>
    <w:qFormat/>
    <w:rsid w:val="00506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EB6"/>
    <w:pPr>
      <w:pageBreakBefore/>
    </w:pPr>
  </w:style>
  <w:style w:type="paragraph" w:customStyle="1" w:styleId="Border">
    <w:name w:val="Border"/>
    <w:basedOn w:val="Normal"/>
    <w:qFormat/>
    <w:rsid w:val="00506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EB6"/>
    <w:rPr>
      <w:u w:val="single"/>
    </w:rPr>
  </w:style>
  <w:style w:type="character" w:customStyle="1" w:styleId="BoldandItalics">
    <w:name w:val="Bold and Italics"/>
    <w:qFormat/>
    <w:rsid w:val="00506EB6"/>
    <w:rPr>
      <w:b/>
      <w:i/>
      <w:u w:val="none"/>
    </w:rPr>
  </w:style>
  <w:style w:type="paragraph" w:styleId="BalloonText">
    <w:name w:val="Balloon Text"/>
    <w:basedOn w:val="Normal"/>
    <w:link w:val="BalloonTextChar"/>
    <w:rsid w:val="00506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E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E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834</Words>
  <Characters>5494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PMBWELD303 Install polyethylene (non-pressure) drainage pipelines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2016-06-22T08:01:00Z</dcterms:created>
  <dcterms:modified xsi:type="dcterms:W3CDTF">2016-06-22T08:02:00Z</dcterms:modified>
</cp:coreProperties>
</file>