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AAB" w:rsidP="00836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PMBTECH603 Design structural/mechanical polymer components</w:t>
      </w:r>
      <w:r>
        <w:fldChar w:fldCharType="end"/>
      </w:r>
    </w:p>
    <w:p w:rsidR="00836AAB" w:rsidP="00836AAB">
      <w:pPr>
        <w:pStyle w:val="Version"/>
        <w:sectPr w:rsidSect="00C16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2C3" w:rsidP="00C162C3">
      <w:pPr>
        <w:pStyle w:val="SuperHeading"/>
      </w:pPr>
      <w:r w:rsidRPr="00C162C3">
        <w:t>PMBTECH603 Design structural/mechanical polymer components</w:t>
      </w:r>
    </w:p>
    <w:p w:rsidR="00000000" w:rsidRPr="00C162C3" w:rsidP="00C162C3">
      <w:pPr>
        <w:pStyle w:val="Heading1"/>
      </w:pPr>
      <w:bookmarkStart w:id="1" w:name="O_927728"/>
      <w:bookmarkEnd w:id="1"/>
      <w:r w:rsidRPr="00C162C3">
        <w:t>Modification History</w:t>
      </w:r>
    </w:p>
    <w:p w:rsidR="00000000" w:rsidRPr="00C162C3" w:rsidP="00C162C3">
      <w:pPr>
        <w:pStyle w:val="BodyText"/>
      </w:pPr>
      <w:r w:rsidRPr="00C162C3">
        <w:t>Release 1. Supersedes and is equivalent to PMBTECH603B Design structural/mechanical polymer components</w:t>
      </w: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2" w:name="O_927736"/>
      <w:bookmarkEnd w:id="2"/>
      <w:r w:rsidRPr="00C162C3">
        <w:t>Application</w:t>
      </w:r>
    </w:p>
    <w:p w:rsidR="00000000" w:rsidRPr="00C162C3" w:rsidP="00C162C3">
      <w:pPr>
        <w:pStyle w:val="BodyText"/>
      </w:pPr>
      <w:r w:rsidRPr="00C162C3">
        <w:t>This unit of competency covers the skills and knowledge required to design a new produc</w:t>
      </w:r>
      <w:r w:rsidRPr="00C162C3">
        <w:t xml:space="preserve">t, or a component of a new product, which has a significant structural or mechanical requirement. It applies to polymer components such as: </w:t>
      </w:r>
    </w:p>
    <w:p w:rsidR="00000000" w:rsidRPr="00C162C3" w:rsidP="00C162C3">
      <w:pPr>
        <w:pStyle w:val="ListBullet"/>
      </w:pPr>
      <w:r w:rsidRPr="00C162C3">
        <w:t>structural components, e.g. support columns and beams in plastic playground equipment</w:t>
      </w:r>
    </w:p>
    <w:p w:rsidR="00000000" w:rsidRPr="00C162C3" w:rsidP="00C162C3">
      <w:pPr>
        <w:pStyle w:val="ListBullet"/>
      </w:pPr>
      <w:r w:rsidRPr="00C162C3">
        <w:t>rigid beams and frames, e.g.</w:t>
      </w:r>
      <w:r w:rsidRPr="00C162C3">
        <w:t xml:space="preserve"> in boat hulls and decks</w:t>
      </w:r>
    </w:p>
    <w:p w:rsidR="00000000" w:rsidRPr="00C162C3" w:rsidP="00C162C3">
      <w:pPr>
        <w:pStyle w:val="ListBullet"/>
      </w:pPr>
      <w:r w:rsidRPr="00C162C3">
        <w:t>mechanical components subject to forces/transmitting mechanical power, e.g. gears and cams.</w:t>
      </w:r>
    </w:p>
    <w:p w:rsidR="00000000" w:rsidRPr="00C162C3" w:rsidP="00C162C3">
      <w:pPr>
        <w:pStyle w:val="BodyText"/>
      </w:pPr>
    </w:p>
    <w:p w:rsidR="00000000" w:rsidRPr="00C162C3" w:rsidP="00C162C3">
      <w:pPr>
        <w:pStyle w:val="BodyText"/>
      </w:pPr>
      <w:r w:rsidRPr="00C162C3">
        <w:t>This unit of competency applies to advanced technologists, technical experts or those in similar roles who are required to apply significa</w:t>
      </w:r>
      <w:r w:rsidRPr="00C162C3">
        <w:t>nt depth and breadth of theoretical polymer, product and process knowledge in order to determine the design requirements; select the materials to be used; design the components; supervise product testing/trials and finalise specifications for the new compo</w:t>
      </w:r>
      <w:r w:rsidRPr="00C162C3">
        <w:t xml:space="preserve">nent. </w:t>
      </w:r>
    </w:p>
    <w:p w:rsidR="00000000" w:rsidRPr="00C162C3" w:rsidP="00C162C3">
      <w:pPr>
        <w:pStyle w:val="BodyText"/>
      </w:pPr>
    </w:p>
    <w:p w:rsidR="00000000" w:rsidRPr="00C162C3" w:rsidP="00C162C3">
      <w:pPr>
        <w:pStyle w:val="BodyText"/>
      </w:pPr>
      <w:r w:rsidRPr="00C162C3">
        <w:t xml:space="preserve">Where the design is being undertaken by a design team the technologist will perform a lead technical role. The technologist is not required to demonstrate 'hands on' operation of equipment as part of this competency. </w:t>
      </w:r>
    </w:p>
    <w:p w:rsidR="00000000" w:rsidRPr="00C162C3" w:rsidP="00C162C3">
      <w:pPr>
        <w:pStyle w:val="BodyText"/>
      </w:pPr>
    </w:p>
    <w:p w:rsidR="00000000" w:rsidRPr="00C162C3" w:rsidP="00C162C3">
      <w:pPr>
        <w:pStyle w:val="BodyText"/>
      </w:pPr>
      <w:r w:rsidRPr="00C162C3">
        <w:t xml:space="preserve">No licensing, legislative or </w:t>
      </w:r>
      <w:r w:rsidRPr="00C162C3">
        <w:t>certification requirements apply to this unit at the time of publication.</w:t>
      </w: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3" w:name="O_927735"/>
      <w:bookmarkEnd w:id="3"/>
      <w:r w:rsidRPr="00C162C3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36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PMBTECH505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C3" w:rsidP="00C162C3">
            <w:pPr>
              <w:pStyle w:val="BodyText"/>
            </w:pPr>
            <w:r w:rsidRPr="00C162C3">
              <w:t>Choose polymer materials for an application</w:t>
            </w:r>
          </w:p>
        </w:tc>
      </w:tr>
    </w:tbl>
    <w:p w:rsidR="00000000" w:rsidRPr="00C162C3" w:rsidP="00C162C3">
      <w:pPr>
        <w:pStyle w:val="BodyText"/>
      </w:pP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4" w:name="O_927734"/>
      <w:bookmarkEnd w:id="4"/>
      <w:r w:rsidRPr="00C162C3">
        <w:t>Competency Field</w:t>
      </w:r>
    </w:p>
    <w:p w:rsidR="00000000" w:rsidRPr="00C162C3" w:rsidP="00C162C3">
      <w:pPr>
        <w:pStyle w:val="Heading1"/>
      </w:pPr>
      <w:bookmarkStart w:id="5" w:name="O_927733"/>
      <w:bookmarkEnd w:id="5"/>
      <w:r w:rsidRPr="00C162C3">
        <w:t>Unit Sector</w:t>
      </w:r>
    </w:p>
    <w:p w:rsidR="00000000" w:rsidRPr="00C162C3" w:rsidP="00C162C3">
      <w:pPr>
        <w:pStyle w:val="BodyText"/>
      </w:pPr>
      <w:r w:rsidRPr="00C162C3">
        <w:t>Not applicable</w:t>
      </w: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6" w:name="O_927732"/>
      <w:bookmarkEnd w:id="6"/>
      <w:r w:rsidRPr="00C162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Performance criteria describe the performance needed to demonstrate achievement of the element.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mechanical/ structural design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stress/strain requirements of end use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flexural/rigidity requirements of end use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required physical properties (such as size, shape and density) of end use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environmental requirements (physical, chemical and radiation) of end product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Identify how component fits with entire end product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Develop mechanical design brief and verify with appropriate people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Select materials and additives, including reinforcing, appropriate for the design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Select material/combination of materials with appropriate physical properties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Select material/combination of materials with appropriate chemical properties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Select material/combination of materials with appropriate radiation resistance properties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Arrange for compounding and testing of possible materials as appropriate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Determine relevant properties of selected material/shortlisted materials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Undertake mechanical design of component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Calculate size and shape/profile of component to meet design brief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Liaise with product developer to also deliver required aesthetic aspects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Liaise with product developer/production to ensure efficiency in manufacture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Suggest modifications to materials/compound as required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Design jointing/joining/ other product interfaces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Liaise with designers of other components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Agree on interface requirements/joints/joining as appropriate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Design suitable interfaces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Check interface design to ensure it meets the end use requirements without sacrificing integrity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Finalise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Check internal consistency of design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Check overall design meets end use requirements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Write component specification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Liaise with product developer/production to write production specification/procedures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Supervise manufacture and testing of prototypes/manufacturing trials as appropriate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Finalise specifications and manufacturing processes and complete all reports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 xml:space="preserve">Ensure project records are complete and all required reports have been completed </w:t>
            </w:r>
            <w:r w:rsidRPr="00C162C3">
              <w:t>and submitted</w:t>
            </w:r>
          </w:p>
        </w:tc>
      </w:tr>
      <w:tr w:rsidTr="00C16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C3" w:rsidP="00C162C3">
            <w:pPr>
              <w:pStyle w:val="BodyText"/>
            </w:pPr>
            <w:r w:rsidRPr="00C162C3">
              <w:t>Archive records according to company procedure</w:t>
            </w:r>
          </w:p>
        </w:tc>
      </w:tr>
    </w:tbl>
    <w:p w:rsidR="00000000" w:rsidRPr="00C162C3" w:rsidP="00C162C3">
      <w:pPr>
        <w:pStyle w:val="BodyText"/>
      </w:pP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7" w:name="O_927731"/>
      <w:bookmarkEnd w:id="7"/>
      <w:r w:rsidRPr="00C162C3">
        <w:t>Foundation Skills</w:t>
      </w:r>
    </w:p>
    <w:p w:rsidR="00000000" w:rsidRPr="00C162C3" w:rsidP="00C162C3">
      <w:pPr>
        <w:pStyle w:val="BodyText"/>
      </w:pPr>
      <w:r w:rsidRPr="00C162C3">
        <w:t>This section describes those required skills (language, literacy and numeracy) that are essential to performance.</w:t>
      </w:r>
    </w:p>
    <w:p w:rsidR="00000000" w:rsidRPr="00C162C3" w:rsidP="00C162C3">
      <w:pPr>
        <w:pStyle w:val="BodyText"/>
      </w:pPr>
    </w:p>
    <w:p w:rsidR="00000000" w:rsidRPr="00C162C3" w:rsidP="00C162C3">
      <w:pPr>
        <w:pStyle w:val="BodyText"/>
      </w:pPr>
      <w:r w:rsidRPr="00C162C3">
        <w:t>Foundation skills essential to performance are explicit in the performance criteria of this unit of competency.</w:t>
      </w: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8" w:name="O_927730"/>
      <w:bookmarkEnd w:id="8"/>
      <w:r w:rsidRPr="00C162C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36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t>This field allows for different work environments and conditions that may affect performance. Essential ope</w:t>
            </w:r>
            <w:r w:rsidRPr="00C162C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36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C3" w:rsidP="00C162C3">
            <w:pPr>
              <w:pStyle w:val="BodyText"/>
            </w:pPr>
            <w:r w:rsidRPr="00C162C3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C3" w:rsidP="00C162C3">
            <w:pPr>
              <w:pStyle w:val="BodyText"/>
            </w:pPr>
            <w:r w:rsidRPr="00C162C3">
              <w:t xml:space="preserve">The latest version of all legislation, regulations, </w:t>
            </w:r>
            <w:r w:rsidRPr="00C162C3">
              <w:t>industry codes of practice and Australian/international standards, or the version specified by the local regulatory authority, must be used.</w:t>
            </w:r>
          </w:p>
          <w:p w:rsidR="00000000" w:rsidRPr="00C162C3" w:rsidP="00C162C3">
            <w:pPr>
              <w:pStyle w:val="BodyText"/>
            </w:pPr>
          </w:p>
          <w:p w:rsidR="00000000" w:rsidRPr="00C162C3" w:rsidP="00C162C3">
            <w:pPr>
              <w:pStyle w:val="BodyText"/>
            </w:pPr>
            <w:r w:rsidRPr="00C162C3">
              <w:t>Applicable legislation, regulations, standards and codes of practice include:</w:t>
            </w:r>
          </w:p>
          <w:p w:rsidR="00000000" w:rsidRPr="00C162C3" w:rsidP="00C162C3">
            <w:pPr>
              <w:pStyle w:val="ListBullet"/>
            </w:pPr>
            <w:r w:rsidRPr="00C162C3">
              <w:t>health, safety and environmental (H</w:t>
            </w:r>
            <w:r w:rsidRPr="00C162C3">
              <w:t xml:space="preserve">SE) legislation, regulations and codes of practice relevant to the workplace, materials and processes being used and products being made </w:t>
            </w:r>
          </w:p>
          <w:p w:rsidR="00000000" w:rsidRPr="00C162C3" w:rsidP="00C162C3">
            <w:pPr>
              <w:pStyle w:val="ListBullet"/>
            </w:pPr>
            <w:r w:rsidRPr="00C162C3">
              <w:t xml:space="preserve">Australian/international standards relevant to the materials being used and products being made </w:t>
            </w:r>
          </w:p>
          <w:p w:rsidR="00000000" w:rsidRPr="00C162C3" w:rsidP="00C162C3">
            <w:pPr>
              <w:pStyle w:val="ListBullet"/>
            </w:pPr>
            <w:r w:rsidRPr="00C162C3">
              <w:t>any relevant licence and certification requirements.</w:t>
            </w:r>
          </w:p>
          <w:p w:rsidR="00000000" w:rsidRPr="00C162C3" w:rsidP="00C162C3">
            <w:pPr>
              <w:pStyle w:val="BodyText"/>
            </w:pPr>
          </w:p>
          <w:p w:rsidR="00000000" w:rsidRPr="00C162C3" w:rsidP="00C162C3">
            <w:pPr>
              <w:pStyle w:val="BodyText"/>
            </w:pPr>
            <w:r w:rsidRPr="00C162C3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C162C3">
              <w:t>here there is an apparent conflict between performance criteria and such requirements the legislative requirements take precedence.</w:t>
            </w:r>
          </w:p>
          <w:p w:rsidR="00000000" w:rsidP="00C162C3">
            <w:pPr>
              <w:pStyle w:val="BodyText"/>
              <w:rPr>
                <w:lang w:val="en-NZ"/>
              </w:rPr>
            </w:pPr>
          </w:p>
        </w:tc>
      </w:tr>
      <w:tr w:rsidTr="00836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2C3">
            <w:pPr>
              <w:pStyle w:val="BodyText"/>
              <w:rPr>
                <w:lang w:val="en-NZ"/>
              </w:rPr>
            </w:pPr>
            <w:r w:rsidRPr="00C162C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2C3" w:rsidP="00C162C3">
            <w:pPr>
              <w:pStyle w:val="BodyText"/>
            </w:pPr>
            <w:r w:rsidRPr="00C162C3">
              <w:t>All operations must be performed in accordance with relevant procedures.</w:t>
            </w:r>
          </w:p>
          <w:p w:rsidR="00000000" w:rsidRPr="00C162C3" w:rsidP="00C162C3">
            <w:pPr>
              <w:pStyle w:val="BodyText"/>
            </w:pPr>
          </w:p>
          <w:p w:rsidR="00000000" w:rsidRPr="00C162C3" w:rsidP="00C162C3">
            <w:pPr>
              <w:pStyle w:val="BodyText"/>
            </w:pPr>
            <w:r w:rsidRPr="00C162C3">
              <w:t>Procedures are written, verbal, visua</w:t>
            </w:r>
            <w:r w:rsidRPr="00C162C3">
              <w:t>l, computer-based or in some other form, and include one or any combination of:</w:t>
            </w:r>
          </w:p>
          <w:p w:rsidR="00000000" w:rsidRPr="00C162C3" w:rsidP="00C162C3">
            <w:pPr>
              <w:pStyle w:val="ListBullet"/>
            </w:pPr>
            <w:r w:rsidRPr="00C162C3">
              <w:t>test procedures</w:t>
            </w:r>
          </w:p>
          <w:p w:rsidR="00000000" w:rsidRPr="00C162C3" w:rsidP="00C162C3">
            <w:pPr>
              <w:pStyle w:val="ListBullet"/>
            </w:pPr>
            <w:r w:rsidRPr="00C162C3">
              <w:t>technical specifications</w:t>
            </w:r>
          </w:p>
          <w:p w:rsidR="00000000" w:rsidRPr="00C162C3" w:rsidP="00C162C3">
            <w:pPr>
              <w:pStyle w:val="ListBullet"/>
            </w:pPr>
            <w:r w:rsidRPr="00C162C3">
              <w:t>technical drawings</w:t>
            </w:r>
          </w:p>
          <w:p w:rsidR="00000000" w:rsidRPr="00C162C3" w:rsidP="00C162C3">
            <w:pPr>
              <w:pStyle w:val="ListBullet"/>
            </w:pPr>
            <w:r w:rsidRPr="00C162C3">
              <w:t>emergency procedures</w:t>
            </w:r>
          </w:p>
          <w:p w:rsidR="00000000" w:rsidRPr="00C162C3" w:rsidP="00C162C3">
            <w:pPr>
              <w:pStyle w:val="ListBullet"/>
            </w:pPr>
            <w:r w:rsidRPr="00C162C3">
              <w:t>work instructions</w:t>
            </w:r>
          </w:p>
          <w:p w:rsidR="00000000" w:rsidRPr="00C162C3" w:rsidP="00C162C3">
            <w:pPr>
              <w:pStyle w:val="ListBullet"/>
            </w:pPr>
            <w:r w:rsidRPr="00C162C3">
              <w:t>standard operating procedures (SOPs)</w:t>
            </w:r>
          </w:p>
          <w:p w:rsidR="00000000" w:rsidRPr="00C162C3" w:rsidP="00C162C3">
            <w:pPr>
              <w:pStyle w:val="ListBullet"/>
            </w:pPr>
            <w:r w:rsidRPr="00C162C3">
              <w:t>safe work method statements (SWMS)</w:t>
            </w:r>
          </w:p>
          <w:p w:rsidR="00000000" w:rsidRPr="00C162C3" w:rsidP="00C162C3">
            <w:pPr>
              <w:pStyle w:val="ListBullet"/>
            </w:pPr>
            <w:r w:rsidRPr="00C162C3">
              <w:t>formulae/recipes</w:t>
            </w:r>
          </w:p>
          <w:p w:rsidR="00000000" w:rsidRPr="00C162C3" w:rsidP="00C162C3">
            <w:pPr>
              <w:pStyle w:val="ListBullet"/>
            </w:pPr>
            <w:r w:rsidRPr="00C162C3">
              <w:t>batch sheets</w:t>
            </w:r>
          </w:p>
          <w:p w:rsidR="00000000" w:rsidRPr="00C162C3" w:rsidP="00C162C3">
            <w:pPr>
              <w:pStyle w:val="ListBullet"/>
            </w:pPr>
            <w:r w:rsidRPr="00C162C3">
              <w:t>temporary instructions</w:t>
            </w:r>
          </w:p>
          <w:p w:rsidR="00000000" w:rsidRPr="00C162C3" w:rsidP="00C162C3">
            <w:pPr>
              <w:pStyle w:val="ListBullet"/>
            </w:pPr>
            <w:r w:rsidRPr="00C162C3">
              <w:t>any similar instructions provided for the smooth running of the plant.</w:t>
            </w:r>
          </w:p>
        </w:tc>
      </w:tr>
    </w:tbl>
    <w:p w:rsidR="00000000" w:rsidRPr="00C162C3" w:rsidP="00C162C3">
      <w:pPr>
        <w:pStyle w:val="BodyText"/>
      </w:pP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9" w:name="O_927729"/>
      <w:bookmarkEnd w:id="9"/>
      <w:r w:rsidRPr="00C162C3">
        <w:t>Unit Mapping Information</w:t>
      </w:r>
    </w:p>
    <w:p w:rsidR="00000000" w:rsidRPr="00C162C3" w:rsidP="00C162C3">
      <w:pPr>
        <w:pStyle w:val="BodyText"/>
      </w:pPr>
      <w:r w:rsidRPr="00C162C3">
        <w:t>Release 1. Supersedes and is equivalent to PMBTECH603B Design structural/mechanical poly</w:t>
      </w:r>
      <w:r w:rsidRPr="00C162C3">
        <w:t>mer components</w:t>
      </w:r>
    </w:p>
    <w:p w:rsidR="00000000" w:rsidRPr="00C162C3" w:rsidP="00C162C3">
      <w:pPr>
        <w:pStyle w:val="AllowPageBreak"/>
      </w:pPr>
    </w:p>
    <w:p w:rsidR="00000000" w:rsidRPr="00C162C3" w:rsidP="00C162C3">
      <w:pPr>
        <w:pStyle w:val="Heading1"/>
      </w:pPr>
      <w:bookmarkStart w:id="10" w:name="O_927722"/>
      <w:bookmarkEnd w:id="10"/>
      <w:r w:rsidRPr="00C162C3">
        <w:t>Links</w:t>
      </w:r>
    </w:p>
    <w:p w:rsidR="00000000" w:rsidRPr="00C162C3" w:rsidP="00C162C3">
      <w:pPr>
        <w:pStyle w:val="BodyText"/>
      </w:pPr>
      <w:r w:rsidRPr="00C162C3">
        <w:t>MSA Training Package Implementation Guides - http://mskills.org.au/training-packages/info/</w:t>
      </w:r>
    </w:p>
    <w:p w:rsidR="00000000" w:rsidRPr="00C162C3" w:rsidP="00C162C3"/>
    <w:sectPr w:rsidSect="00C162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 w:rsidRPr="00836AAB" w:rsidP="00836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AB" w:rsidP="00C16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AAB" w:rsidP="00C16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36AAB" w:rsidP="00C16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 w:rsidRPr="00836AAB" w:rsidP="00836A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AB" w:rsidRPr="002D2AF8" w:rsidP="00C16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PMBTECH603 Design structural/mechanical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36AAB" w:rsidP="00C16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40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A6A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2C3"/>
  </w:style>
  <w:style w:type="character" w:customStyle="1" w:styleId="Heading1Char">
    <w:name w:val="Heading 1 Char"/>
    <w:basedOn w:val="DefaultParagraphFont"/>
    <w:link w:val="Heading1"/>
    <w:rsid w:val="00C16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2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2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2C3"/>
    <w:rPr>
      <w:b/>
      <w:spacing w:val="0"/>
    </w:rPr>
  </w:style>
  <w:style w:type="paragraph" w:customStyle="1" w:styleId="SuperHeading">
    <w:name w:val="SuperHeading"/>
    <w:basedOn w:val="Normal"/>
    <w:rsid w:val="00C16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2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2C3"/>
    <w:rPr>
      <w:i/>
    </w:rPr>
  </w:style>
  <w:style w:type="paragraph" w:styleId="Caption">
    <w:name w:val="caption"/>
    <w:basedOn w:val="BodyText"/>
    <w:next w:val="Normal"/>
    <w:qFormat/>
    <w:rsid w:val="00C16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2C3"/>
  </w:style>
  <w:style w:type="paragraph" w:styleId="TableofFigures">
    <w:name w:val="table of figures"/>
    <w:basedOn w:val="Normal"/>
    <w:next w:val="Normal"/>
    <w:semiHidden/>
    <w:rsid w:val="00C16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2C3"/>
    <w:pPr>
      <w:numPr>
        <w:numId w:val="10"/>
      </w:numPr>
    </w:pPr>
  </w:style>
  <w:style w:type="character" w:customStyle="1" w:styleId="WingdingSymbols">
    <w:name w:val="Wingding Symbols"/>
    <w:rsid w:val="00C162C3"/>
    <w:rPr>
      <w:rFonts w:ascii="Wingdings" w:hAnsi="Wingdings"/>
    </w:rPr>
  </w:style>
  <w:style w:type="paragraph" w:customStyle="1" w:styleId="TableHeading">
    <w:name w:val="Table Heading"/>
    <w:basedOn w:val="HeadingBase"/>
    <w:rsid w:val="00C16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2C3"/>
    <w:rPr>
      <w:color w:val="0033CC"/>
      <w:u w:val="none"/>
    </w:rPr>
  </w:style>
  <w:style w:type="paragraph" w:customStyle="1" w:styleId="BodyTextRight">
    <w:name w:val="Body Text Right"/>
    <w:basedOn w:val="BodyText"/>
    <w:rsid w:val="00C16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2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2C3"/>
    <w:rPr>
      <w:sz w:val="32"/>
    </w:rPr>
  </w:style>
  <w:style w:type="paragraph" w:customStyle="1" w:styleId="HeadingProcedure">
    <w:name w:val="Heading Procedure"/>
    <w:basedOn w:val="HeadingBase"/>
    <w:next w:val="Normal"/>
    <w:rsid w:val="00C16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2C3"/>
    <w:pPr>
      <w:spacing w:before="60" w:after="60"/>
    </w:pPr>
  </w:style>
  <w:style w:type="paragraph" w:styleId="ListContinue">
    <w:name w:val="List Continue"/>
    <w:basedOn w:val="List"/>
    <w:rsid w:val="00C162C3"/>
    <w:pPr>
      <w:ind w:firstLine="0"/>
    </w:pPr>
  </w:style>
  <w:style w:type="paragraph" w:customStyle="1" w:styleId="ListNote">
    <w:name w:val="List Note"/>
    <w:basedOn w:val="List"/>
    <w:rsid w:val="00C16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2C3"/>
    <w:rPr>
      <w:rFonts w:ascii="Courier New" w:hAnsi="Courier New"/>
    </w:rPr>
  </w:style>
  <w:style w:type="paragraph" w:customStyle="1" w:styleId="NoteBullet">
    <w:name w:val="Note Bullet"/>
    <w:basedOn w:val="Note"/>
    <w:rsid w:val="00C16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2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2C3"/>
    <w:rPr>
      <w:b/>
      <w:smallCaps/>
    </w:rPr>
  </w:style>
  <w:style w:type="paragraph" w:customStyle="1" w:styleId="TableListNumber">
    <w:name w:val="Table List Number"/>
    <w:basedOn w:val="ListNumber"/>
    <w:rsid w:val="00C16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2C3"/>
    <w:pPr>
      <w:numPr>
        <w:numId w:val="8"/>
      </w:numPr>
    </w:pPr>
  </w:style>
  <w:style w:type="paragraph" w:customStyle="1" w:styleId="ListAlpha2">
    <w:name w:val="List Alpha 2"/>
    <w:basedOn w:val="List2"/>
    <w:rsid w:val="00C162C3"/>
    <w:pPr>
      <w:numPr>
        <w:numId w:val="7"/>
      </w:numPr>
    </w:pPr>
  </w:style>
  <w:style w:type="paragraph" w:styleId="List2">
    <w:name w:val="List 2"/>
    <w:basedOn w:val="BodyText"/>
    <w:rsid w:val="00C16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2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2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2C3"/>
    <w:pPr>
      <w:numPr>
        <w:numId w:val="3"/>
      </w:numPr>
    </w:pPr>
  </w:style>
  <w:style w:type="paragraph" w:styleId="ListContinue2">
    <w:name w:val="List Continue 2"/>
    <w:basedOn w:val="List2"/>
    <w:rsid w:val="00C162C3"/>
    <w:pPr>
      <w:ind w:firstLine="0"/>
    </w:pPr>
  </w:style>
  <w:style w:type="paragraph" w:styleId="ListContinue3">
    <w:name w:val="List Continue 3"/>
    <w:basedOn w:val="List3"/>
    <w:rsid w:val="00C162C3"/>
    <w:pPr>
      <w:ind w:left="1021" w:firstLine="0"/>
    </w:pPr>
  </w:style>
  <w:style w:type="paragraph" w:styleId="ListContinue4">
    <w:name w:val="List Continue 4"/>
    <w:basedOn w:val="List4"/>
    <w:rsid w:val="00C162C3"/>
    <w:pPr>
      <w:ind w:firstLine="0"/>
    </w:pPr>
  </w:style>
  <w:style w:type="paragraph" w:styleId="ListContinue5">
    <w:name w:val="List Continue 5"/>
    <w:basedOn w:val="List5"/>
    <w:rsid w:val="00C162C3"/>
    <w:pPr>
      <w:ind w:firstLine="0"/>
    </w:pPr>
  </w:style>
  <w:style w:type="paragraph" w:styleId="ListNumber3">
    <w:name w:val="List Number 3"/>
    <w:basedOn w:val="List3"/>
    <w:rsid w:val="00C162C3"/>
    <w:pPr>
      <w:numPr>
        <w:numId w:val="4"/>
      </w:numPr>
    </w:pPr>
  </w:style>
  <w:style w:type="paragraph" w:styleId="ListNumber4">
    <w:name w:val="List Number 4"/>
    <w:basedOn w:val="List4"/>
    <w:rsid w:val="00C162C3"/>
    <w:pPr>
      <w:numPr>
        <w:numId w:val="5"/>
      </w:numPr>
    </w:pPr>
  </w:style>
  <w:style w:type="paragraph" w:styleId="ListNumber5">
    <w:name w:val="List Number 5"/>
    <w:basedOn w:val="List5"/>
    <w:rsid w:val="00C162C3"/>
    <w:pPr>
      <w:numPr>
        <w:numId w:val="6"/>
      </w:numPr>
    </w:pPr>
  </w:style>
  <w:style w:type="paragraph" w:styleId="BlockText">
    <w:name w:val="Block Text"/>
    <w:basedOn w:val="Normal"/>
    <w:rsid w:val="00C16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2C3"/>
    <w:rPr>
      <w:sz w:val="16"/>
      <w:vertAlign w:val="superscript"/>
    </w:rPr>
  </w:style>
  <w:style w:type="character" w:customStyle="1" w:styleId="Symbols">
    <w:name w:val="Symbols"/>
    <w:basedOn w:val="DefaultParagraphFont"/>
    <w:rsid w:val="00C162C3"/>
    <w:rPr>
      <w:rFonts w:ascii="Symbol" w:hAnsi="Symbol"/>
    </w:rPr>
  </w:style>
  <w:style w:type="character" w:customStyle="1" w:styleId="MenuOptions">
    <w:name w:val="Menu Options"/>
    <w:basedOn w:val="DefaultParagraphFont"/>
    <w:rsid w:val="00C16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2C3"/>
    <w:rPr>
      <w:b/>
    </w:rPr>
  </w:style>
  <w:style w:type="character" w:customStyle="1" w:styleId="Underlined">
    <w:name w:val="Underlined"/>
    <w:basedOn w:val="DefaultParagraphFont"/>
    <w:rsid w:val="00C162C3"/>
    <w:rPr>
      <w:u w:val="single"/>
    </w:rPr>
  </w:style>
  <w:style w:type="paragraph" w:customStyle="1" w:styleId="TableBodyTextRight">
    <w:name w:val="Table Body Text Right"/>
    <w:basedOn w:val="TableBodyText"/>
    <w:rsid w:val="00C16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2C3"/>
    <w:rPr>
      <w:sz w:val="18"/>
    </w:rPr>
  </w:style>
  <w:style w:type="paragraph" w:customStyle="1" w:styleId="BodySmallRight">
    <w:name w:val="Body Small Right"/>
    <w:basedOn w:val="BodyTextRight"/>
    <w:rsid w:val="00C162C3"/>
    <w:rPr>
      <w:sz w:val="18"/>
      <w:szCs w:val="18"/>
    </w:rPr>
  </w:style>
  <w:style w:type="paragraph" w:customStyle="1" w:styleId="MarginEdition">
    <w:name w:val="Margin Edition"/>
    <w:basedOn w:val="MarginNote"/>
    <w:rsid w:val="00C16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2C3"/>
    <w:rPr>
      <w:sz w:val="2"/>
      <w:szCs w:val="2"/>
    </w:rPr>
  </w:style>
  <w:style w:type="character" w:customStyle="1" w:styleId="Small">
    <w:name w:val="Small"/>
    <w:basedOn w:val="DefaultParagraphFont"/>
    <w:rsid w:val="00C162C3"/>
    <w:rPr>
      <w:sz w:val="16"/>
    </w:rPr>
  </w:style>
  <w:style w:type="paragraph" w:customStyle="1" w:styleId="WideTable">
    <w:name w:val="Wide Table"/>
    <w:basedOn w:val="Normal"/>
    <w:rsid w:val="00C16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2C3"/>
  </w:style>
  <w:style w:type="paragraph" w:styleId="Quote">
    <w:name w:val="Quote"/>
    <w:basedOn w:val="Heading1"/>
    <w:link w:val="QuoteChar"/>
    <w:qFormat/>
    <w:rsid w:val="00C16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2C3"/>
    <w:pPr>
      <w:pageBreakBefore/>
    </w:pPr>
  </w:style>
  <w:style w:type="paragraph" w:customStyle="1" w:styleId="Border">
    <w:name w:val="Border"/>
    <w:basedOn w:val="Normal"/>
    <w:qFormat/>
    <w:rsid w:val="00C16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2C3"/>
    <w:rPr>
      <w:u w:val="single"/>
    </w:rPr>
  </w:style>
  <w:style w:type="character" w:customStyle="1" w:styleId="BoldandItalics">
    <w:name w:val="Bold and Italics"/>
    <w:qFormat/>
    <w:rsid w:val="00C162C3"/>
    <w:rPr>
      <w:b/>
      <w:i/>
      <w:u w:val="none"/>
    </w:rPr>
  </w:style>
  <w:style w:type="paragraph" w:styleId="BalloonText">
    <w:name w:val="Balloon Text"/>
    <w:basedOn w:val="Normal"/>
    <w:link w:val="BalloonTextChar"/>
    <w:rsid w:val="00C16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2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2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5312</Characters>
  <Application>Microsoft Office Word</Application>
  <DocSecurity>0</DocSecurity>
  <Lines>247</Lines>
  <Paragraphs>116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PMBTECH603 Design structural/mechanical polymer components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