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E98" w:rsidP="00331E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PMBTECH510 Analyse failure in polymeric materials</w:t>
      </w:r>
      <w:r>
        <w:fldChar w:fldCharType="end"/>
      </w:r>
    </w:p>
    <w:p w:rsidR="00331E98" w:rsidP="00331E98">
      <w:pPr>
        <w:pStyle w:val="Version"/>
        <w:sectPr w:rsidSect="00E91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287" w:rsidP="00E91287">
      <w:pPr>
        <w:pStyle w:val="SuperHeading"/>
      </w:pPr>
      <w:r w:rsidRPr="00E91287">
        <w:t>PMBTECH510 Analyse failure in polymeric materials</w:t>
      </w:r>
    </w:p>
    <w:p w:rsidR="00000000" w:rsidRPr="00E91287" w:rsidP="00E91287">
      <w:pPr>
        <w:pStyle w:val="Heading1"/>
      </w:pPr>
      <w:bookmarkStart w:id="1" w:name="O_927671"/>
      <w:bookmarkEnd w:id="1"/>
      <w:r w:rsidRPr="00E91287">
        <w:t>Modification History</w:t>
      </w:r>
    </w:p>
    <w:p w:rsidR="00000000" w:rsidRPr="00E91287" w:rsidP="00E91287">
      <w:pPr>
        <w:pStyle w:val="BodyText"/>
      </w:pPr>
      <w:r w:rsidRPr="00E91287">
        <w:t>Release 1. Supersedes and is equivalent to PMBTECH510A Analyse failure in polymeric materials</w:t>
      </w:r>
    </w:p>
    <w:p w:rsidR="00000000" w:rsidRPr="00E91287" w:rsidP="00E91287">
      <w:pPr>
        <w:pStyle w:val="AllowPageBreak"/>
      </w:pPr>
    </w:p>
    <w:p w:rsidR="00000000" w:rsidRPr="00E91287" w:rsidP="00E91287">
      <w:pPr>
        <w:pStyle w:val="Heading1"/>
      </w:pPr>
      <w:bookmarkStart w:id="2" w:name="O_927679"/>
      <w:bookmarkEnd w:id="2"/>
      <w:r w:rsidRPr="00E91287">
        <w:t>Application</w:t>
      </w:r>
    </w:p>
    <w:p w:rsidR="00000000" w:rsidRPr="00E91287" w:rsidP="00E91287">
      <w:pPr>
        <w:pStyle w:val="BodyText"/>
      </w:pPr>
      <w:r w:rsidRPr="00E91287">
        <w:t>This unit of competency covers the skills and knowledge required to analyse failure in polymeric materia</w:t>
      </w:r>
      <w:r w:rsidRPr="00E91287">
        <w:t xml:space="preserve">ls. It applies to polymer compounds, such as crystalline and amorphous polymers, reinforced (fillers or fibres) and filled compounds, crosslinked and uncrosslinked polymers. </w:t>
      </w:r>
    </w:p>
    <w:p w:rsidR="00000000" w:rsidRPr="00E91287" w:rsidP="00E91287">
      <w:pPr>
        <w:pStyle w:val="BodyText"/>
      </w:pPr>
    </w:p>
    <w:p w:rsidR="00000000" w:rsidRPr="00E91287" w:rsidP="00E91287">
      <w:pPr>
        <w:pStyle w:val="BodyText"/>
      </w:pPr>
      <w:r w:rsidRPr="00E91287">
        <w:t>This unit of competency applies to experienced technicians or those in similar r</w:t>
      </w:r>
      <w:r w:rsidRPr="00E91287">
        <w:t>oles who are required to apply in-depth knowledge of materials, process, equipment and problem solving in order to analyse the mechanical/physical responses of different polymers, compounds and physical shapes to different applications of stress and strain</w:t>
      </w:r>
      <w:r w:rsidRPr="00E91287">
        <w:t xml:space="preserve"> and identify options for modifying these responses to suit different applications.   </w:t>
      </w:r>
    </w:p>
    <w:p w:rsidR="00000000" w:rsidRPr="00E91287" w:rsidP="00E91287">
      <w:pPr>
        <w:pStyle w:val="BodyText"/>
      </w:pPr>
    </w:p>
    <w:p w:rsidR="00000000" w:rsidRPr="00E91287" w:rsidP="00E91287">
      <w:pPr>
        <w:pStyle w:val="BodyText"/>
      </w:pPr>
      <w:r w:rsidRPr="00E91287">
        <w:t>No licensing, legislative or certification requirements apply to this unit at the time of publication.</w:t>
      </w:r>
    </w:p>
    <w:p w:rsidR="00000000" w:rsidRPr="00E91287" w:rsidP="00E91287">
      <w:pPr>
        <w:pStyle w:val="AllowPageBreak"/>
      </w:pPr>
    </w:p>
    <w:p w:rsidR="00000000" w:rsidRPr="00E91287" w:rsidP="00E91287">
      <w:pPr>
        <w:pStyle w:val="Heading1"/>
      </w:pPr>
      <w:bookmarkStart w:id="3" w:name="O_927678"/>
      <w:bookmarkEnd w:id="3"/>
      <w:r w:rsidRPr="00E91287">
        <w:t>Pre-requisite Unit</w:t>
      </w:r>
    </w:p>
    <w:p w:rsidR="00000000" w:rsidRPr="00E91287" w:rsidP="00E91287">
      <w:pPr>
        <w:pStyle w:val="BodyText"/>
      </w:pPr>
      <w:r w:rsidRPr="00E91287">
        <w:t>Nil</w:t>
      </w:r>
    </w:p>
    <w:p w:rsidR="00000000" w:rsidRPr="00E91287" w:rsidP="00E91287">
      <w:pPr>
        <w:pStyle w:val="AllowPageBreak"/>
      </w:pPr>
    </w:p>
    <w:p w:rsidR="00000000" w:rsidRPr="00E91287" w:rsidP="00E91287">
      <w:pPr>
        <w:pStyle w:val="Heading1"/>
      </w:pPr>
      <w:bookmarkStart w:id="4" w:name="O_927677"/>
      <w:bookmarkEnd w:id="4"/>
      <w:r w:rsidRPr="00E91287">
        <w:t>Competen</w:t>
      </w:r>
      <w:r w:rsidRPr="00E91287">
        <w:t>cy Field</w:t>
      </w:r>
    </w:p>
    <w:p w:rsidR="00000000" w:rsidRPr="00E91287" w:rsidP="00E91287">
      <w:pPr>
        <w:pStyle w:val="BodyText"/>
      </w:pPr>
      <w:r w:rsidRPr="00E91287">
        <w:t>Technical</w:t>
      </w:r>
    </w:p>
    <w:p w:rsidR="00000000" w:rsidRPr="00E91287" w:rsidP="00E91287">
      <w:pPr>
        <w:pStyle w:val="AllowPageBreak"/>
      </w:pPr>
    </w:p>
    <w:p w:rsidR="00000000" w:rsidRPr="00E91287" w:rsidP="00E91287">
      <w:pPr>
        <w:pStyle w:val="Heading1"/>
      </w:pPr>
      <w:bookmarkStart w:id="5" w:name="O_927676"/>
      <w:bookmarkEnd w:id="5"/>
      <w:r w:rsidRPr="00E91287">
        <w:t>Unit Sector</w:t>
      </w:r>
    </w:p>
    <w:p w:rsidR="00000000" w:rsidRPr="00E91287" w:rsidP="00E91287">
      <w:pPr>
        <w:pStyle w:val="BodyText"/>
      </w:pPr>
      <w:r w:rsidRPr="00E91287">
        <w:t>Not applicable</w:t>
      </w:r>
    </w:p>
    <w:p w:rsidR="00000000" w:rsidRPr="00E91287" w:rsidP="00E91287">
      <w:pPr>
        <w:pStyle w:val="AllowPageBreak"/>
      </w:pPr>
    </w:p>
    <w:p w:rsidR="00000000" w:rsidRPr="00E91287" w:rsidP="00E91287">
      <w:pPr>
        <w:pStyle w:val="Heading1"/>
      </w:pPr>
      <w:bookmarkStart w:id="6" w:name="O_927675"/>
      <w:bookmarkEnd w:id="6"/>
      <w:r w:rsidRPr="00E912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Performance criteria describe the performance needed to demonstrate achievement of the element.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87" w:rsidP="00E91287">
            <w:pPr>
              <w:pStyle w:val="BodyText"/>
            </w:pPr>
            <w:r w:rsidRPr="00E9128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rPr>
                <w:rStyle w:val="SpecialBold"/>
              </w:rPr>
              <w:t xml:space="preserve">Analyse response to steady and </w:t>
            </w:r>
            <w:r w:rsidRPr="00E91287">
              <w:rPr>
                <w:rStyle w:val="SpecialBold"/>
              </w:rPr>
              <w:t>static loads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Determine stress strain response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Determine tear/notch failures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Identify modulus and yield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Identify creep and stress relaxation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Determine stiffness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Identify applications where the typical viscoelastic response of polymers is an advantage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Identify applications where the typical viscoelastic response of polymers must be modified and common methods of modification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87" w:rsidP="00E91287">
            <w:pPr>
              <w:pStyle w:val="BodyText"/>
            </w:pPr>
            <w:r w:rsidRPr="00E9128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rPr>
                <w:rStyle w:val="SpecialBold"/>
              </w:rPr>
              <w:t>Analy</w:t>
            </w:r>
            <w:r w:rsidRPr="00E91287">
              <w:rPr>
                <w:rStyle w:val="SpecialBold"/>
              </w:rPr>
              <w:t>se response to time varying loads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Determine hysteresis in tensile and shear loadings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Determine the effect of slow/rapid (impact) loading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Identify failure modes in flex cycling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Identify fatigue failure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Identify failures in sinusoidal loadings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Identify applications where the typical viscoelastic response of polymers is an advantage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Identify applications where the typical viscoelastic response of polymers must be modified and common methods o</w:t>
            </w:r>
            <w:r w:rsidRPr="00E91287">
              <w:t>f modification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87" w:rsidP="00E91287">
            <w:pPr>
              <w:pStyle w:val="BodyText"/>
            </w:pPr>
            <w:r w:rsidRPr="00E9128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rPr>
                <w:rStyle w:val="SpecialBold"/>
              </w:rPr>
              <w:t>Analyse the effect of environment/ history on mechanical response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Determine effect of temperature on response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Determine effect of surface degradation on response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Determine effect o</w:t>
            </w:r>
            <w:r w:rsidRPr="00E91287">
              <w:t>f molecule/fibre/filler orientation on response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Determine the effect of environmental degradation on failure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Identify applications where the typical response of polymers is an advantage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 xml:space="preserve">Identify applications where the typical response </w:t>
            </w:r>
            <w:r w:rsidRPr="00E91287">
              <w:t>of polymers must be modified and common methods of modification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87" w:rsidP="00E91287">
            <w:pPr>
              <w:pStyle w:val="BodyText"/>
            </w:pPr>
            <w:r w:rsidRPr="00E9128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rPr>
                <w:rStyle w:val="SpecialBold"/>
              </w:rPr>
              <w:t>Analyse the effect of shape on mechanical response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Determine the effect of shape on the stress/strain relationship (triaxiality)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Determine the effect of shape on stiffness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Determine the effect of shape on response to cyclical loads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Determine the effect of shape on creep and relaxation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Identify applications where the typical response of polymers is an advantage</w:t>
            </w:r>
          </w:p>
        </w:tc>
      </w:tr>
      <w:tr w:rsidTr="00E91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87" w:rsidP="00E91287">
            <w:pPr>
              <w:pStyle w:val="BodyText"/>
            </w:pPr>
            <w:r w:rsidRPr="00E91287">
              <w:t>Identify applications where the typica</w:t>
            </w:r>
            <w:r w:rsidRPr="00E91287">
              <w:t>l response of polymers must be modified and common methods of modification</w:t>
            </w:r>
          </w:p>
        </w:tc>
      </w:tr>
    </w:tbl>
    <w:p w:rsidR="00000000" w:rsidRPr="00E91287" w:rsidP="00E91287">
      <w:pPr>
        <w:pStyle w:val="BodyText"/>
      </w:pPr>
    </w:p>
    <w:p w:rsidR="00000000" w:rsidRPr="00E91287" w:rsidP="00E91287">
      <w:pPr>
        <w:pStyle w:val="AllowPageBreak"/>
      </w:pPr>
    </w:p>
    <w:p w:rsidR="00000000" w:rsidRPr="00E91287" w:rsidP="00E91287">
      <w:pPr>
        <w:pStyle w:val="Heading1"/>
      </w:pPr>
      <w:bookmarkStart w:id="7" w:name="O_927674"/>
      <w:bookmarkEnd w:id="7"/>
      <w:r w:rsidRPr="00E91287">
        <w:t>Foundation Skills</w:t>
      </w:r>
    </w:p>
    <w:p w:rsidR="00000000" w:rsidRPr="00E91287" w:rsidP="00E91287">
      <w:pPr>
        <w:pStyle w:val="BodyText"/>
      </w:pPr>
      <w:r w:rsidRPr="00E91287">
        <w:t>This section describes those required skills (language, literacy and numeracy) that are essential to performance.</w:t>
      </w:r>
    </w:p>
    <w:p w:rsidR="00000000" w:rsidRPr="00E91287" w:rsidP="00E91287">
      <w:pPr>
        <w:pStyle w:val="BodyText"/>
      </w:pPr>
    </w:p>
    <w:p w:rsidR="00000000" w:rsidRPr="00E91287" w:rsidP="00E91287">
      <w:pPr>
        <w:pStyle w:val="BodyText"/>
      </w:pPr>
      <w:r w:rsidRPr="00E91287">
        <w:t>Foundation skills essential to performance are explicit in the performance criteria of this unit of competency.</w:t>
      </w:r>
    </w:p>
    <w:p w:rsidR="00000000" w:rsidRPr="00E91287" w:rsidP="00E91287">
      <w:pPr>
        <w:pStyle w:val="AllowPageBreak"/>
      </w:pPr>
    </w:p>
    <w:p w:rsidR="00000000" w:rsidRPr="00E91287" w:rsidP="00E91287">
      <w:pPr>
        <w:pStyle w:val="Heading1"/>
      </w:pPr>
      <w:bookmarkStart w:id="8" w:name="O_927673"/>
      <w:bookmarkEnd w:id="8"/>
      <w:r w:rsidRPr="00E9128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31E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t>This field allows for different work environments and conditions that may affect performance. Essential ope</w:t>
            </w:r>
            <w:r w:rsidRPr="00E91287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31E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87" w:rsidP="00E91287">
            <w:pPr>
              <w:pStyle w:val="BodyText"/>
            </w:pPr>
            <w:r w:rsidRPr="00E91287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87" w:rsidP="00E91287">
            <w:pPr>
              <w:pStyle w:val="BodyText"/>
            </w:pPr>
            <w:r w:rsidRPr="00E91287">
              <w:t xml:space="preserve">The latest version of all legislation, regulations, </w:t>
            </w:r>
            <w:r w:rsidRPr="00E91287">
              <w:t>industry codes of practice and Australian/international standards, or the version specified by the local regulatory authority, must be used.</w:t>
            </w:r>
          </w:p>
          <w:p w:rsidR="00000000" w:rsidRPr="00E91287" w:rsidP="00E91287">
            <w:pPr>
              <w:pStyle w:val="BodyText"/>
            </w:pPr>
          </w:p>
          <w:p w:rsidR="00000000" w:rsidRPr="00E91287" w:rsidP="00E91287">
            <w:pPr>
              <w:pStyle w:val="BodyText"/>
            </w:pPr>
            <w:r w:rsidRPr="00E91287">
              <w:t>Applicable legislation, regulations, standards and codes of practice include:</w:t>
            </w:r>
          </w:p>
          <w:p w:rsidR="00000000" w:rsidRPr="00E91287" w:rsidP="00E91287">
            <w:pPr>
              <w:pStyle w:val="ListBullet"/>
            </w:pPr>
            <w:r w:rsidRPr="00E91287">
              <w:t>health, safety and environmental (H</w:t>
            </w:r>
            <w:r w:rsidRPr="00E91287">
              <w:t xml:space="preserve">SE) legislation, regulations and codes of practice relevant to the workplace, materials and processes being used and products being made </w:t>
            </w:r>
          </w:p>
          <w:p w:rsidR="00000000" w:rsidRPr="00E91287" w:rsidP="00E91287">
            <w:pPr>
              <w:pStyle w:val="ListBullet"/>
            </w:pPr>
            <w:r w:rsidRPr="00E91287">
              <w:t xml:space="preserve">Australian/international standards relevant to the materials and products being tested </w:t>
            </w:r>
          </w:p>
          <w:p w:rsidR="00000000" w:rsidRPr="00E91287" w:rsidP="00E91287">
            <w:pPr>
              <w:pStyle w:val="ListBullet"/>
            </w:pPr>
            <w:r w:rsidRPr="00E91287">
              <w:t>any relevant licence and certification requirements.</w:t>
            </w:r>
          </w:p>
          <w:p w:rsidR="00000000" w:rsidRPr="00E91287" w:rsidP="00E91287">
            <w:pPr>
              <w:pStyle w:val="BodyText"/>
            </w:pPr>
          </w:p>
          <w:p w:rsidR="00000000" w:rsidRPr="00E91287" w:rsidP="00E91287">
            <w:pPr>
              <w:pStyle w:val="BodyText"/>
            </w:pPr>
            <w:r w:rsidRPr="00E91287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E91287">
              <w:t>here there is an apparent conflict between performance criteria and such requirements the legislative requirements take precedence.</w:t>
            </w:r>
          </w:p>
          <w:p w:rsidR="00000000" w:rsidP="00E91287">
            <w:pPr>
              <w:pStyle w:val="BodyText"/>
              <w:rPr>
                <w:lang w:val="en-NZ"/>
              </w:rPr>
            </w:pPr>
          </w:p>
        </w:tc>
      </w:tr>
      <w:tr w:rsidTr="00331E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87" w:rsidP="00E91287">
            <w:pPr>
              <w:pStyle w:val="BodyText"/>
            </w:pPr>
            <w:r w:rsidRPr="00E91287">
              <w:t>All operations must be performed in accordance with relevant procedures.</w:t>
            </w:r>
          </w:p>
          <w:p w:rsidR="00000000" w:rsidRPr="00E91287" w:rsidP="00E91287">
            <w:pPr>
              <w:pStyle w:val="BodyText"/>
            </w:pPr>
          </w:p>
          <w:p w:rsidR="00000000" w:rsidRPr="00E91287" w:rsidP="00E91287">
            <w:pPr>
              <w:pStyle w:val="BodyText"/>
            </w:pPr>
            <w:r w:rsidRPr="00E91287">
              <w:t>Procedures are written, verbal, visua</w:t>
            </w:r>
            <w:r w:rsidRPr="00E91287">
              <w:t>l, computer-based or in some other form, and include one or any combination of:</w:t>
            </w:r>
          </w:p>
          <w:p w:rsidR="00000000" w:rsidRPr="00E91287" w:rsidP="00E91287">
            <w:pPr>
              <w:pStyle w:val="ListBullet"/>
            </w:pPr>
            <w:r w:rsidRPr="00E91287">
              <w:t>test procedures</w:t>
            </w:r>
          </w:p>
          <w:p w:rsidR="00000000" w:rsidRPr="00E91287" w:rsidP="00E91287">
            <w:pPr>
              <w:pStyle w:val="ListBullet"/>
            </w:pPr>
            <w:r w:rsidRPr="00E91287">
              <w:t>technical specifications</w:t>
            </w:r>
          </w:p>
          <w:p w:rsidR="00000000" w:rsidRPr="00E91287" w:rsidP="00E91287">
            <w:pPr>
              <w:pStyle w:val="ListBullet"/>
            </w:pPr>
            <w:r w:rsidRPr="00E91287">
              <w:t>technical drawings</w:t>
            </w:r>
          </w:p>
          <w:p w:rsidR="00000000" w:rsidRPr="00E91287" w:rsidP="00E91287">
            <w:pPr>
              <w:pStyle w:val="ListBullet"/>
            </w:pPr>
            <w:r w:rsidRPr="00E91287">
              <w:t>emergency procedures</w:t>
            </w:r>
          </w:p>
          <w:p w:rsidR="00000000" w:rsidRPr="00E91287" w:rsidP="00E91287">
            <w:pPr>
              <w:pStyle w:val="ListBullet"/>
            </w:pPr>
            <w:r w:rsidRPr="00E91287">
              <w:t>work instructions</w:t>
            </w:r>
          </w:p>
          <w:p w:rsidR="00000000" w:rsidRPr="00E91287" w:rsidP="00E91287">
            <w:pPr>
              <w:pStyle w:val="ListBullet"/>
            </w:pPr>
            <w:r w:rsidRPr="00E91287">
              <w:t>standard operating procedures (SOPs)</w:t>
            </w:r>
          </w:p>
          <w:p w:rsidR="00000000" w:rsidRPr="00E91287" w:rsidP="00E91287">
            <w:pPr>
              <w:pStyle w:val="ListBullet"/>
            </w:pPr>
            <w:r w:rsidRPr="00E91287">
              <w:t>safe work method statements (SWMS)</w:t>
            </w:r>
          </w:p>
          <w:p w:rsidR="00000000" w:rsidRPr="00E91287" w:rsidP="00E91287">
            <w:pPr>
              <w:pStyle w:val="ListBullet"/>
            </w:pPr>
            <w:r w:rsidRPr="00E91287">
              <w:t>formulae/recipes</w:t>
            </w:r>
          </w:p>
          <w:p w:rsidR="00000000" w:rsidRPr="00E91287" w:rsidP="00E91287">
            <w:pPr>
              <w:pStyle w:val="ListBullet"/>
            </w:pPr>
            <w:r w:rsidRPr="00E91287">
              <w:t>batch sheets</w:t>
            </w:r>
          </w:p>
          <w:p w:rsidR="00000000" w:rsidRPr="00E91287" w:rsidP="00E91287">
            <w:pPr>
              <w:pStyle w:val="ListBullet"/>
            </w:pPr>
            <w:r w:rsidRPr="00E91287">
              <w:t>temporary instructions</w:t>
            </w:r>
          </w:p>
          <w:p w:rsidR="00000000" w:rsidRPr="00E91287" w:rsidP="00E91287">
            <w:pPr>
              <w:pStyle w:val="ListBullet"/>
            </w:pPr>
            <w:r w:rsidRPr="00E91287">
              <w:t>any similar instructions provided for the smooth running of the plant.</w:t>
            </w:r>
          </w:p>
          <w:p w:rsidR="00000000" w:rsidP="00E91287">
            <w:pPr>
              <w:pStyle w:val="BodyText"/>
              <w:rPr>
                <w:lang w:val="en-NZ"/>
              </w:rPr>
            </w:pPr>
          </w:p>
        </w:tc>
      </w:tr>
      <w:tr w:rsidTr="00331E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87" w:rsidP="00E91287">
            <w:pPr>
              <w:pStyle w:val="BodyText"/>
            </w:pPr>
            <w:r w:rsidRPr="00E91287">
              <w:t>Tools and equipment include:</w:t>
            </w:r>
          </w:p>
          <w:p w:rsidR="00000000" w:rsidRPr="00E91287" w:rsidP="00E91287">
            <w:pPr>
              <w:pStyle w:val="ListBullet"/>
            </w:pPr>
            <w:r w:rsidRPr="00E91287">
              <w:t>stress/strain testers</w:t>
            </w:r>
          </w:p>
          <w:p w:rsidR="00000000" w:rsidRPr="00E91287" w:rsidP="00E91287">
            <w:pPr>
              <w:pStyle w:val="ListBullet"/>
            </w:pPr>
            <w:r w:rsidRPr="00E91287">
              <w:t>impact testers</w:t>
            </w:r>
          </w:p>
          <w:p w:rsidR="00000000" w:rsidRPr="00E91287" w:rsidP="00E91287">
            <w:pPr>
              <w:pStyle w:val="ListBullet"/>
            </w:pPr>
            <w:r w:rsidRPr="00E91287">
              <w:t>cycling testers</w:t>
            </w:r>
          </w:p>
          <w:p w:rsidR="00000000" w:rsidRPr="00E91287" w:rsidP="00E91287">
            <w:pPr>
              <w:pStyle w:val="ListBullet"/>
            </w:pPr>
            <w:r w:rsidRPr="00E91287">
              <w:t>environmental ageing equipm</w:t>
            </w:r>
            <w:r w:rsidRPr="00E91287">
              <w:t>ent</w:t>
            </w:r>
          </w:p>
          <w:p w:rsidR="00000000" w:rsidRPr="00E91287" w:rsidP="00E91287">
            <w:pPr>
              <w:pStyle w:val="ListBullet"/>
            </w:pPr>
            <w:r w:rsidRPr="00E91287">
              <w:t>basic length/thickness measuring equipment.</w:t>
            </w:r>
          </w:p>
          <w:p w:rsidR="00000000" w:rsidP="00E91287">
            <w:pPr>
              <w:pStyle w:val="BodyText"/>
              <w:rPr>
                <w:lang w:val="en-NZ"/>
              </w:rPr>
            </w:pPr>
          </w:p>
        </w:tc>
      </w:tr>
      <w:tr w:rsidTr="00331E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87" w:rsidP="00E91287">
            <w:pPr>
              <w:pStyle w:val="BodyText"/>
            </w:pPr>
            <w:r w:rsidRPr="00E91287">
              <w:t>Hazards must be identified and controlled. Identifying hazards requires consideration of:</w:t>
            </w:r>
          </w:p>
          <w:p w:rsidR="00000000" w:rsidRPr="00E91287" w:rsidP="00E91287">
            <w:pPr>
              <w:pStyle w:val="ListBullet"/>
            </w:pPr>
            <w:r w:rsidRPr="00E91287">
              <w:t>stored energy (e.g. in stressed test samples)</w:t>
            </w:r>
          </w:p>
          <w:p w:rsidR="00000000" w:rsidRPr="00E91287" w:rsidP="00E91287">
            <w:pPr>
              <w:pStyle w:val="ListBullet"/>
            </w:pPr>
            <w:r w:rsidRPr="00E91287">
              <w:t>test preparation equipment</w:t>
            </w:r>
          </w:p>
          <w:p w:rsidR="00000000" w:rsidRPr="00E91287" w:rsidP="00E91287">
            <w:pPr>
              <w:pStyle w:val="ListBullet"/>
            </w:pPr>
            <w:r w:rsidRPr="00E91287">
              <w:t>conditions and materials used for causing sample degradation</w:t>
            </w:r>
          </w:p>
          <w:p w:rsidR="00000000" w:rsidRPr="00E91287" w:rsidP="00E91287">
            <w:pPr>
              <w:pStyle w:val="ListBullet"/>
            </w:pPr>
            <w:r w:rsidRPr="00E91287">
              <w:t>hazardous products and materials</w:t>
            </w:r>
          </w:p>
          <w:p w:rsidR="00000000" w:rsidRPr="00E91287" w:rsidP="00E91287">
            <w:pPr>
              <w:pStyle w:val="ListBullet"/>
            </w:pPr>
            <w:r w:rsidRPr="00E91287">
              <w:t>other hazards that might arise.</w:t>
            </w:r>
          </w:p>
        </w:tc>
      </w:tr>
    </w:tbl>
    <w:p w:rsidR="00000000" w:rsidRPr="00E91287" w:rsidP="00E91287">
      <w:pPr>
        <w:pStyle w:val="BodyText"/>
      </w:pPr>
    </w:p>
    <w:p w:rsidR="00000000" w:rsidRPr="00E91287" w:rsidP="00E91287">
      <w:pPr>
        <w:pStyle w:val="AllowPageBreak"/>
      </w:pPr>
    </w:p>
    <w:p w:rsidR="00000000" w:rsidRPr="00E91287" w:rsidP="00E91287">
      <w:pPr>
        <w:pStyle w:val="Heading1"/>
      </w:pPr>
      <w:bookmarkStart w:id="9" w:name="O_927672"/>
      <w:bookmarkEnd w:id="9"/>
      <w:r w:rsidRPr="00E91287">
        <w:t>Unit Mapping Information</w:t>
      </w:r>
    </w:p>
    <w:p w:rsidR="00000000" w:rsidRPr="00E91287" w:rsidP="00E91287">
      <w:pPr>
        <w:pStyle w:val="BodyText"/>
      </w:pPr>
      <w:r w:rsidRPr="00E91287">
        <w:t>Release 1. Supersedes and is equivalent to PMBTECH510A Analyse failure in polymeric ma</w:t>
      </w:r>
      <w:r w:rsidRPr="00E91287">
        <w:t>terials</w:t>
      </w:r>
    </w:p>
    <w:p w:rsidR="00000000" w:rsidRPr="00E91287" w:rsidP="00E91287">
      <w:pPr>
        <w:pStyle w:val="AllowPageBreak"/>
      </w:pPr>
    </w:p>
    <w:p w:rsidR="00000000" w:rsidRPr="00E91287" w:rsidP="00E91287">
      <w:pPr>
        <w:pStyle w:val="Heading1"/>
      </w:pPr>
      <w:bookmarkStart w:id="10" w:name="O_927665"/>
      <w:bookmarkEnd w:id="10"/>
      <w:r w:rsidRPr="00E91287">
        <w:t>Links</w:t>
      </w:r>
    </w:p>
    <w:p w:rsidR="00000000" w:rsidRPr="00E91287" w:rsidP="00E91287">
      <w:pPr>
        <w:pStyle w:val="BodyText"/>
      </w:pPr>
      <w:r w:rsidRPr="00E91287">
        <w:t>MSA Training Package Implementation Guides - http://mskills.org.au/training-packages/info/</w:t>
      </w:r>
    </w:p>
    <w:p w:rsidR="00000000" w:rsidRPr="00E91287" w:rsidP="00E91287"/>
    <w:sectPr w:rsidSect="00E912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87" w:rsidRPr="00331E98" w:rsidP="00331E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98" w:rsidP="00E91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1E98" w:rsidP="00E91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31E98" w:rsidP="00E91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87" w:rsidRPr="00331E98" w:rsidP="00331E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98" w:rsidRPr="002D2AF8" w:rsidP="00E91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PMBTECH510 Analyse failure in polymeric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31E98" w:rsidP="00E91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EC1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1024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287"/>
  </w:style>
  <w:style w:type="character" w:customStyle="1" w:styleId="Heading1Char">
    <w:name w:val="Heading 1 Char"/>
    <w:basedOn w:val="DefaultParagraphFont"/>
    <w:link w:val="Heading1"/>
    <w:rsid w:val="00E91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28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2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2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287"/>
    <w:rPr>
      <w:b/>
      <w:spacing w:val="0"/>
    </w:rPr>
  </w:style>
  <w:style w:type="paragraph" w:customStyle="1" w:styleId="SuperHeading">
    <w:name w:val="SuperHeading"/>
    <w:basedOn w:val="Normal"/>
    <w:rsid w:val="00E91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2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2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28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2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287"/>
    <w:rPr>
      <w:i/>
    </w:rPr>
  </w:style>
  <w:style w:type="paragraph" w:styleId="Caption">
    <w:name w:val="caption"/>
    <w:basedOn w:val="BodyText"/>
    <w:next w:val="Normal"/>
    <w:qFormat/>
    <w:rsid w:val="00E91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287"/>
  </w:style>
  <w:style w:type="paragraph" w:styleId="TableofFigures">
    <w:name w:val="table of figures"/>
    <w:basedOn w:val="Normal"/>
    <w:next w:val="Normal"/>
    <w:semiHidden/>
    <w:rsid w:val="00E91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287"/>
    <w:pPr>
      <w:numPr>
        <w:numId w:val="10"/>
      </w:numPr>
    </w:pPr>
  </w:style>
  <w:style w:type="character" w:customStyle="1" w:styleId="WingdingSymbols">
    <w:name w:val="Wingding Symbols"/>
    <w:rsid w:val="00E91287"/>
    <w:rPr>
      <w:rFonts w:ascii="Wingdings" w:hAnsi="Wingdings"/>
    </w:rPr>
  </w:style>
  <w:style w:type="paragraph" w:customStyle="1" w:styleId="TableHeading">
    <w:name w:val="Table Heading"/>
    <w:basedOn w:val="HeadingBase"/>
    <w:rsid w:val="00E91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287"/>
    <w:rPr>
      <w:color w:val="0033CC"/>
      <w:u w:val="none"/>
    </w:rPr>
  </w:style>
  <w:style w:type="paragraph" w:customStyle="1" w:styleId="BodyTextRight">
    <w:name w:val="Body Text Right"/>
    <w:basedOn w:val="BodyText"/>
    <w:rsid w:val="00E91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2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287"/>
    <w:rPr>
      <w:sz w:val="32"/>
    </w:rPr>
  </w:style>
  <w:style w:type="paragraph" w:customStyle="1" w:styleId="HeadingProcedure">
    <w:name w:val="Heading Procedure"/>
    <w:basedOn w:val="HeadingBase"/>
    <w:next w:val="Normal"/>
    <w:rsid w:val="00E91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287"/>
    <w:pPr>
      <w:spacing w:before="60" w:after="60"/>
    </w:pPr>
  </w:style>
  <w:style w:type="paragraph" w:styleId="ListContinue">
    <w:name w:val="List Continue"/>
    <w:basedOn w:val="List"/>
    <w:rsid w:val="00E91287"/>
    <w:pPr>
      <w:ind w:firstLine="0"/>
    </w:pPr>
  </w:style>
  <w:style w:type="paragraph" w:customStyle="1" w:styleId="ListNote">
    <w:name w:val="List Note"/>
    <w:basedOn w:val="List"/>
    <w:rsid w:val="00E91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287"/>
    <w:rPr>
      <w:rFonts w:ascii="Courier New" w:hAnsi="Courier New"/>
    </w:rPr>
  </w:style>
  <w:style w:type="paragraph" w:customStyle="1" w:styleId="NoteBullet">
    <w:name w:val="Note Bullet"/>
    <w:basedOn w:val="Note"/>
    <w:rsid w:val="00E91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2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1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287"/>
    <w:rPr>
      <w:b/>
      <w:smallCaps/>
    </w:rPr>
  </w:style>
  <w:style w:type="paragraph" w:customStyle="1" w:styleId="TableListNumber">
    <w:name w:val="Table List Number"/>
    <w:basedOn w:val="ListNumber"/>
    <w:rsid w:val="00E91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287"/>
    <w:pPr>
      <w:numPr>
        <w:numId w:val="8"/>
      </w:numPr>
    </w:pPr>
  </w:style>
  <w:style w:type="paragraph" w:customStyle="1" w:styleId="ListAlpha2">
    <w:name w:val="List Alpha 2"/>
    <w:basedOn w:val="List2"/>
    <w:rsid w:val="00E91287"/>
    <w:pPr>
      <w:numPr>
        <w:numId w:val="7"/>
      </w:numPr>
    </w:pPr>
  </w:style>
  <w:style w:type="paragraph" w:styleId="List2">
    <w:name w:val="List 2"/>
    <w:basedOn w:val="BodyText"/>
    <w:rsid w:val="00E91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2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2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1287"/>
    <w:pPr>
      <w:numPr>
        <w:numId w:val="3"/>
      </w:numPr>
    </w:pPr>
  </w:style>
  <w:style w:type="paragraph" w:styleId="ListContinue2">
    <w:name w:val="List Continue 2"/>
    <w:basedOn w:val="List2"/>
    <w:rsid w:val="00E91287"/>
    <w:pPr>
      <w:ind w:firstLine="0"/>
    </w:pPr>
  </w:style>
  <w:style w:type="paragraph" w:styleId="ListContinue3">
    <w:name w:val="List Continue 3"/>
    <w:basedOn w:val="List3"/>
    <w:rsid w:val="00E91287"/>
    <w:pPr>
      <w:ind w:left="1021" w:firstLine="0"/>
    </w:pPr>
  </w:style>
  <w:style w:type="paragraph" w:styleId="ListContinue4">
    <w:name w:val="List Continue 4"/>
    <w:basedOn w:val="List4"/>
    <w:rsid w:val="00E91287"/>
    <w:pPr>
      <w:ind w:firstLine="0"/>
    </w:pPr>
  </w:style>
  <w:style w:type="paragraph" w:styleId="ListContinue5">
    <w:name w:val="List Continue 5"/>
    <w:basedOn w:val="List5"/>
    <w:rsid w:val="00E91287"/>
    <w:pPr>
      <w:ind w:firstLine="0"/>
    </w:pPr>
  </w:style>
  <w:style w:type="paragraph" w:styleId="ListNumber3">
    <w:name w:val="List Number 3"/>
    <w:basedOn w:val="List3"/>
    <w:rsid w:val="00E91287"/>
    <w:pPr>
      <w:numPr>
        <w:numId w:val="4"/>
      </w:numPr>
    </w:pPr>
  </w:style>
  <w:style w:type="paragraph" w:styleId="ListNumber4">
    <w:name w:val="List Number 4"/>
    <w:basedOn w:val="List4"/>
    <w:rsid w:val="00E91287"/>
    <w:pPr>
      <w:numPr>
        <w:numId w:val="5"/>
      </w:numPr>
    </w:pPr>
  </w:style>
  <w:style w:type="paragraph" w:styleId="ListNumber5">
    <w:name w:val="List Number 5"/>
    <w:basedOn w:val="List5"/>
    <w:rsid w:val="00E91287"/>
    <w:pPr>
      <w:numPr>
        <w:numId w:val="6"/>
      </w:numPr>
    </w:pPr>
  </w:style>
  <w:style w:type="paragraph" w:styleId="BlockText">
    <w:name w:val="Block Text"/>
    <w:basedOn w:val="Normal"/>
    <w:rsid w:val="00E91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287"/>
    <w:rPr>
      <w:sz w:val="16"/>
      <w:vertAlign w:val="superscript"/>
    </w:rPr>
  </w:style>
  <w:style w:type="character" w:customStyle="1" w:styleId="Symbols">
    <w:name w:val="Symbols"/>
    <w:basedOn w:val="DefaultParagraphFont"/>
    <w:rsid w:val="00E91287"/>
    <w:rPr>
      <w:rFonts w:ascii="Symbol" w:hAnsi="Symbol"/>
    </w:rPr>
  </w:style>
  <w:style w:type="character" w:customStyle="1" w:styleId="MenuOptions">
    <w:name w:val="Menu Options"/>
    <w:basedOn w:val="DefaultParagraphFont"/>
    <w:rsid w:val="00E91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287"/>
    <w:rPr>
      <w:b/>
    </w:rPr>
  </w:style>
  <w:style w:type="character" w:customStyle="1" w:styleId="Underlined">
    <w:name w:val="Underlined"/>
    <w:basedOn w:val="DefaultParagraphFont"/>
    <w:rsid w:val="00E91287"/>
    <w:rPr>
      <w:u w:val="single"/>
    </w:rPr>
  </w:style>
  <w:style w:type="paragraph" w:customStyle="1" w:styleId="TableBodyTextRight">
    <w:name w:val="Table Body Text Right"/>
    <w:basedOn w:val="TableBodyText"/>
    <w:rsid w:val="00E91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287"/>
    <w:rPr>
      <w:sz w:val="18"/>
    </w:rPr>
  </w:style>
  <w:style w:type="paragraph" w:customStyle="1" w:styleId="BodySmallRight">
    <w:name w:val="Body Small Right"/>
    <w:basedOn w:val="BodyTextRight"/>
    <w:rsid w:val="00E91287"/>
    <w:rPr>
      <w:sz w:val="18"/>
      <w:szCs w:val="18"/>
    </w:rPr>
  </w:style>
  <w:style w:type="paragraph" w:customStyle="1" w:styleId="MarginEdition">
    <w:name w:val="Margin Edition"/>
    <w:basedOn w:val="MarginNote"/>
    <w:rsid w:val="00E91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287"/>
    <w:rPr>
      <w:sz w:val="2"/>
      <w:szCs w:val="2"/>
    </w:rPr>
  </w:style>
  <w:style w:type="character" w:customStyle="1" w:styleId="Small">
    <w:name w:val="Small"/>
    <w:basedOn w:val="DefaultParagraphFont"/>
    <w:rsid w:val="00E91287"/>
    <w:rPr>
      <w:sz w:val="16"/>
    </w:rPr>
  </w:style>
  <w:style w:type="paragraph" w:customStyle="1" w:styleId="WideTable">
    <w:name w:val="Wide Table"/>
    <w:basedOn w:val="Normal"/>
    <w:rsid w:val="00E91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287"/>
  </w:style>
  <w:style w:type="paragraph" w:styleId="Quote">
    <w:name w:val="Quote"/>
    <w:basedOn w:val="Heading1"/>
    <w:link w:val="QuoteChar"/>
    <w:qFormat/>
    <w:rsid w:val="00E91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287"/>
    <w:pPr>
      <w:pageBreakBefore/>
    </w:pPr>
  </w:style>
  <w:style w:type="paragraph" w:customStyle="1" w:styleId="Border">
    <w:name w:val="Border"/>
    <w:basedOn w:val="Normal"/>
    <w:qFormat/>
    <w:rsid w:val="00E91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287"/>
    <w:rPr>
      <w:u w:val="single"/>
    </w:rPr>
  </w:style>
  <w:style w:type="character" w:customStyle="1" w:styleId="BoldandItalics">
    <w:name w:val="Bold and Italics"/>
    <w:qFormat/>
    <w:rsid w:val="00E91287"/>
    <w:rPr>
      <w:b/>
      <w:i/>
      <w:u w:val="none"/>
    </w:rPr>
  </w:style>
  <w:style w:type="paragraph" w:styleId="BalloonText">
    <w:name w:val="Balloon Text"/>
    <w:basedOn w:val="Normal"/>
    <w:link w:val="BalloonTextChar"/>
    <w:rsid w:val="00E91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28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28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5119</Characters>
  <Application>Microsoft Office Word</Application>
  <DocSecurity>0</DocSecurity>
  <Lines>247</Lines>
  <Paragraphs>122</Paragraphs>
  <ScaleCrop>false</ScaleCrop>
  <Company>Author-it Software Corporation Ltd.</Company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PMBTECH510 Analyse failure in polymeric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2016-06-22T08:08:00Z</dcterms:created>
  <dcterms:modified xsi:type="dcterms:W3CDTF">2016-06-22T08:08:00Z</dcterms:modified>
</cp:coreProperties>
</file>