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2B4" w:rsidP="00EC5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PMBTECH506E Analyse the design of products and tools for polymer injection moulding</w:t>
      </w:r>
      <w:r>
        <w:fldChar w:fldCharType="end"/>
      </w:r>
    </w:p>
    <w:p w:rsidR="00EC52B4" w:rsidP="00EC52B4">
      <w:pPr>
        <w:pStyle w:val="Version"/>
        <w:sectPr w:rsidSect="004B6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2DE" w:rsidP="004B62DE">
      <w:pPr>
        <w:pStyle w:val="SuperHeading"/>
      </w:pPr>
      <w:r w:rsidRPr="004B62DE">
        <w:t>PMBTECH506E Analyse the design of products and tools for polymer injection moulding</w:t>
      </w:r>
    </w:p>
    <w:p w:rsidR="00000000" w:rsidRPr="004B62DE" w:rsidP="004B62DE">
      <w:pPr>
        <w:pStyle w:val="Heading1"/>
      </w:pPr>
      <w:bookmarkStart w:id="1" w:name="O_1115995"/>
      <w:bookmarkEnd w:id="1"/>
      <w:r w:rsidRPr="004B62DE">
        <w:t>Modification History</w:t>
      </w:r>
    </w:p>
    <w:p w:rsidR="00000000" w:rsidRPr="004B62DE" w:rsidP="00EC52B4">
      <w:pPr>
        <w:pStyle w:val="BodyText"/>
      </w:pPr>
      <w:r w:rsidRPr="004B62DE">
        <w:t>Release 1. Unit code and title changed. Application changed. Elements and Perform</w:t>
      </w:r>
      <w:r w:rsidRPr="004B62DE">
        <w:t>ance Criteria changed. Range of Conditions removed. Assessment Requirements changed. Supersedes and is equivalent to PMBTECH506 Analyse the design of product and tools.</w:t>
      </w:r>
    </w:p>
    <w:p w:rsidR="00000000" w:rsidRPr="004B62DE" w:rsidP="004B62DE">
      <w:pPr>
        <w:pStyle w:val="Heading1"/>
      </w:pPr>
      <w:bookmarkStart w:id="2" w:name="O_1115996"/>
      <w:bookmarkEnd w:id="2"/>
      <w:r w:rsidRPr="004B62DE">
        <w:t>Application</w:t>
      </w:r>
    </w:p>
    <w:p w:rsidR="00000000" w:rsidRPr="004B62DE" w:rsidP="00EC52B4">
      <w:pPr>
        <w:pStyle w:val="BodyText"/>
      </w:pPr>
      <w:r w:rsidRPr="004B62DE">
        <w:t>This unit describes the skills and knowledge required to</w:t>
      </w:r>
      <w:r w:rsidRPr="004B62DE">
        <w:t xml:space="preserve"> analyse product and tool design to inform design features for new production.</w:t>
      </w:r>
    </w:p>
    <w:p w:rsidR="00000000" w:rsidRPr="004B62DE" w:rsidP="00EC52B4">
      <w:pPr>
        <w:pStyle w:val="BodyText"/>
      </w:pPr>
      <w:r w:rsidRPr="004B62DE">
        <w:t>This unit applies to an experienced injection moulding technician working alone or as part of a team.</w:t>
      </w:r>
    </w:p>
    <w:p w:rsidR="00000000" w:rsidRPr="004B62DE" w:rsidP="00EC52B4">
      <w:pPr>
        <w:pStyle w:val="BodyText"/>
      </w:pPr>
      <w:r w:rsidRPr="004B62DE">
        <w:t xml:space="preserve">This unit principally refers to applying production experience and polymer </w:t>
      </w:r>
      <w:r w:rsidRPr="004B62DE">
        <w:t>knowledge along with fundamental tooling design parameters to advise on design.</w:t>
      </w:r>
    </w:p>
    <w:p w:rsidR="00000000" w:rsidRPr="004B62DE" w:rsidP="00EC52B4">
      <w:pPr>
        <w:pStyle w:val="BodyText"/>
      </w:pPr>
      <w:r w:rsidRPr="004B62DE">
        <w:t>This unit does not apply to non-metallic moulds such as those used for composites or thermoforming.</w:t>
      </w:r>
    </w:p>
    <w:p w:rsidR="00000000" w:rsidRPr="004B62DE" w:rsidP="00EC52B4">
      <w:pPr>
        <w:pStyle w:val="BodyText"/>
      </w:pPr>
      <w:r w:rsidRPr="004B62DE">
        <w:t>No licensing or certification requirements exist at the time of publication.</w:t>
      </w:r>
      <w:r w:rsidRPr="004B62DE">
        <w:t xml:space="preserve"> Relevant legislation, industry standards and codes of practice within Australia must be applied.</w:t>
      </w:r>
    </w:p>
    <w:p w:rsidR="00000000" w:rsidRPr="004B62DE" w:rsidP="004B62DE">
      <w:pPr>
        <w:pStyle w:val="Heading1"/>
      </w:pPr>
      <w:bookmarkStart w:id="3" w:name="O_1115997"/>
      <w:bookmarkEnd w:id="3"/>
      <w:r w:rsidRPr="004B62DE">
        <w:t>Pre-requisite Unit</w:t>
      </w:r>
    </w:p>
    <w:p w:rsidR="00000000" w:rsidRPr="004B62DE" w:rsidP="00EC52B4">
      <w:pPr>
        <w:pStyle w:val="BodyText"/>
      </w:pPr>
      <w:r w:rsidRPr="004B62DE">
        <w:t>MSMOPS401 Trial a new process or product.</w:t>
      </w:r>
    </w:p>
    <w:p w:rsidR="00000000" w:rsidRPr="004B62DE" w:rsidP="004B62DE">
      <w:pPr>
        <w:pStyle w:val="Heading1"/>
      </w:pPr>
      <w:bookmarkStart w:id="4" w:name="O_1115998"/>
      <w:bookmarkEnd w:id="4"/>
      <w:r w:rsidRPr="004B62DE">
        <w:t>Competency Field</w:t>
      </w:r>
    </w:p>
    <w:p w:rsidR="00000000" w:rsidRPr="004B62DE" w:rsidP="00EC52B4">
      <w:pPr>
        <w:pStyle w:val="BodyText"/>
      </w:pPr>
      <w:r w:rsidRPr="004B62DE">
        <w:t>Technical – Injection Moulding.</w:t>
      </w:r>
    </w:p>
    <w:p w:rsidR="00000000" w:rsidRPr="004B62DE" w:rsidP="004B62DE">
      <w:pPr>
        <w:pStyle w:val="Heading1"/>
      </w:pPr>
      <w:bookmarkStart w:id="5" w:name="O_1116000"/>
      <w:bookmarkEnd w:id="5"/>
      <w:r w:rsidRPr="004B62D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B62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DE" w:rsidP="004B62DE">
            <w:pPr>
              <w:pStyle w:val="BodyText"/>
            </w:pPr>
            <w:r w:rsidRPr="004B62DE">
              <w:rPr>
                <w:rStyle w:val="SpecialBold"/>
              </w:rPr>
              <w:t>Elements</w:t>
            </w:r>
          </w:p>
          <w:p w:rsidR="00000000" w:rsidRPr="004B62DE" w:rsidP="004B62DE">
            <w:pPr>
              <w:pStyle w:val="BodyText"/>
            </w:pPr>
            <w:r w:rsidRPr="004B62D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DE" w:rsidP="004B62DE">
            <w:pPr>
              <w:pStyle w:val="BodyText"/>
            </w:pPr>
            <w:r w:rsidRPr="004B62DE">
              <w:rPr>
                <w:rStyle w:val="SpecialBold"/>
              </w:rPr>
              <w:t>Performance Criteria</w:t>
            </w:r>
          </w:p>
          <w:p w:rsidR="00000000" w:rsidP="004B62DE">
            <w:pPr>
              <w:pStyle w:val="BodyText"/>
              <w:rPr>
                <w:lang w:val="en-NZ"/>
              </w:rPr>
            </w:pPr>
            <w:r w:rsidRPr="004B62DE">
              <w:t>Performance criteria describe the performance needed to demonstrate achievement of the element.</w:t>
            </w:r>
          </w:p>
        </w:tc>
      </w:tr>
      <w:tr w:rsidTr="004B62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2DE">
            <w:pPr>
              <w:pStyle w:val="BodyText"/>
              <w:rPr>
                <w:lang w:val="en-NZ"/>
              </w:rPr>
            </w:pPr>
            <w:r w:rsidRPr="004B62DE">
              <w:t>1. Identify tool components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DE" w:rsidP="004B62DE">
            <w:pPr>
              <w:pStyle w:val="BodyText"/>
            </w:pPr>
            <w:r w:rsidRPr="004B62DE">
              <w:t>1.1 Identify advantages and limitations of common types of tools to assess features against production requirements</w:t>
            </w:r>
          </w:p>
          <w:p w:rsidR="00000000" w:rsidP="004B62DE">
            <w:pPr>
              <w:pStyle w:val="BodyText"/>
              <w:rPr>
                <w:lang w:val="en-NZ"/>
              </w:rPr>
            </w:pPr>
            <w:r w:rsidRPr="004B62DE">
              <w:t>1.2 Interpret technical drawings to select tool types, components and systems according to job specifications</w:t>
            </w:r>
          </w:p>
        </w:tc>
      </w:tr>
      <w:tr w:rsidTr="004B62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2DE">
            <w:pPr>
              <w:pStyle w:val="BodyText"/>
              <w:rPr>
                <w:lang w:val="en-NZ"/>
              </w:rPr>
            </w:pPr>
            <w:r w:rsidRPr="004B62DE">
              <w:t>2. Identify tool and part fea</w:t>
            </w:r>
            <w:r w:rsidRPr="004B62DE">
              <w:t>tures that affect product quality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DE" w:rsidP="004B62DE">
            <w:pPr>
              <w:pStyle w:val="BodyText"/>
            </w:pPr>
            <w:r w:rsidRPr="004B62DE">
              <w:t>2.1 Recognise, and consider as part of selection, common product faults caused by tools</w:t>
            </w:r>
          </w:p>
          <w:p w:rsidR="00000000" w:rsidP="004B62DE">
            <w:pPr>
              <w:pStyle w:val="BodyText"/>
              <w:rPr>
                <w:lang w:val="en-NZ"/>
              </w:rPr>
            </w:pPr>
            <w:r w:rsidRPr="004B62DE">
              <w:t>2.2 Recommend modifications to tools or materials to mitigate the risk of, or rectify, process control variances resulting from tool f</w:t>
            </w:r>
            <w:r w:rsidRPr="004B62DE">
              <w:t xml:space="preserve">aults </w:t>
            </w:r>
          </w:p>
        </w:tc>
      </w:tr>
      <w:tr w:rsidTr="004B62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2DE">
            <w:pPr>
              <w:pStyle w:val="BodyText"/>
              <w:rPr>
                <w:lang w:val="en-NZ"/>
              </w:rPr>
            </w:pPr>
            <w:r w:rsidRPr="004B62DE">
              <w:t>3. Identify product features that affect tool design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DE" w:rsidP="004B62DE">
            <w:pPr>
              <w:pStyle w:val="BodyText"/>
            </w:pPr>
            <w:r w:rsidRPr="004B62DE">
              <w:t>3.1 Identify product design features in terms of tool design and manufacturing approach required to achieve them</w:t>
            </w:r>
          </w:p>
          <w:p w:rsidR="00000000" w:rsidP="004B62DE">
            <w:pPr>
              <w:pStyle w:val="BodyText"/>
              <w:rPr>
                <w:lang w:val="en-NZ"/>
              </w:rPr>
            </w:pPr>
            <w:r w:rsidRPr="004B62DE">
              <w:t>3.2 Identify critical product design features that must be considered to inform op</w:t>
            </w:r>
            <w:r w:rsidRPr="004B62DE">
              <w:t>timal selection of manufacturing technology and tool design</w:t>
            </w:r>
          </w:p>
        </w:tc>
      </w:tr>
      <w:tr w:rsidTr="004B62D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2DE">
            <w:pPr>
              <w:pStyle w:val="BodyText"/>
              <w:rPr>
                <w:lang w:val="en-NZ"/>
              </w:rPr>
            </w:pPr>
            <w:r w:rsidRPr="004B62DE">
              <w:t>4. Analyse tool design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2DE" w:rsidP="004B62DE">
            <w:pPr>
              <w:pStyle w:val="BodyText"/>
            </w:pPr>
            <w:r w:rsidRPr="004B62DE">
              <w:t xml:space="preserve">4.1 Assess process that will be followed for design, manufacture and trialling of tools </w:t>
            </w:r>
          </w:p>
          <w:p w:rsidR="00000000" w:rsidRPr="004B62DE" w:rsidP="004B62DE">
            <w:pPr>
              <w:pStyle w:val="BodyText"/>
            </w:pPr>
            <w:r w:rsidRPr="004B62DE">
              <w:t>4.2 Use analysis and balancing tools to ensure optimal tool design for productivity</w:t>
            </w:r>
            <w:r w:rsidRPr="004B62DE">
              <w:t xml:space="preserve"> and output quality </w:t>
            </w:r>
          </w:p>
          <w:p w:rsidR="00000000" w:rsidRPr="004B62DE" w:rsidP="004B62DE">
            <w:pPr>
              <w:pStyle w:val="BodyText"/>
            </w:pPr>
            <w:r w:rsidRPr="004B62DE">
              <w:t xml:space="preserve">4.3 Recommend technical improvements to tool and product design to promote optimal production processes </w:t>
            </w:r>
          </w:p>
        </w:tc>
      </w:tr>
    </w:tbl>
    <w:p w:rsidR="00000000" w:rsidRPr="004B62DE" w:rsidP="004B62DE">
      <w:pPr>
        <w:pStyle w:val="BodyText"/>
      </w:pPr>
    </w:p>
    <w:p w:rsidR="00000000" w:rsidRPr="004B62DE" w:rsidP="004B62DE">
      <w:pPr>
        <w:pStyle w:val="AllowPageBreak"/>
      </w:pPr>
    </w:p>
    <w:p w:rsidR="00000000" w:rsidRPr="004B62DE" w:rsidP="004B62DE">
      <w:pPr>
        <w:pStyle w:val="Heading1"/>
      </w:pPr>
      <w:bookmarkStart w:id="6" w:name="O_1116001"/>
      <w:bookmarkEnd w:id="6"/>
      <w:r w:rsidRPr="004B62DE">
        <w:t>Foundation Skills</w:t>
      </w:r>
    </w:p>
    <w:p w:rsidR="00000000" w:rsidRPr="004B62DE" w:rsidP="00EC52B4">
      <w:pPr>
        <w:pStyle w:val="BodyText"/>
      </w:pPr>
      <w:r w:rsidRPr="004B62DE">
        <w:t xml:space="preserve">This section describes those language, literacy, numeracy and employment skills that are essential to performance. </w:t>
      </w:r>
    </w:p>
    <w:p w:rsidR="00000000" w:rsidRPr="004B62DE" w:rsidP="004B62DE">
      <w:pPr>
        <w:pStyle w:val="ListBullet"/>
      </w:pPr>
      <w:r w:rsidRPr="004B62DE">
        <w:t>Numeracy skills to collect and analyse data and interpret technical drawings.</w:t>
      </w:r>
    </w:p>
    <w:p w:rsidR="00000000" w:rsidRPr="004B62DE" w:rsidP="004B62DE">
      <w:pPr>
        <w:pStyle w:val="ListBullet"/>
      </w:pPr>
      <w:r w:rsidRPr="004B62DE">
        <w:t xml:space="preserve">Reading skills to interpret job and equipment specifications </w:t>
      </w:r>
      <w:r w:rsidRPr="004B62DE">
        <w:t>and workplace procedures.</w:t>
      </w:r>
    </w:p>
    <w:p w:rsidR="00000000" w:rsidRPr="004B62DE" w:rsidP="004B62DE">
      <w:pPr>
        <w:pStyle w:val="ListBullet"/>
      </w:pPr>
      <w:r w:rsidRPr="004B62DE">
        <w:t>Writing and oral communication skills to recommend tooling and manufacturing technology selections and improvements.</w:t>
      </w:r>
    </w:p>
    <w:p w:rsidR="00000000" w:rsidRPr="00EC52B4" w:rsidP="00EC52B4">
      <w:pPr>
        <w:pStyle w:val="BodyText"/>
        <w:rPr>
          <w:i/>
        </w:rPr>
      </w:pPr>
      <w:r w:rsidRPr="00EC52B4">
        <w:rPr>
          <w:rStyle w:val="Emphasis"/>
        </w:rPr>
        <w:t>Other foundation skills essential to performance are explicit in the performance criteria of this unit of compete</w:t>
      </w:r>
      <w:r w:rsidRPr="00EC52B4">
        <w:rPr>
          <w:rStyle w:val="Emphasis"/>
        </w:rPr>
        <w:t>ncy.</w:t>
      </w:r>
    </w:p>
    <w:p w:rsidR="00000000" w:rsidRPr="004B62DE" w:rsidP="004B62DE">
      <w:pPr>
        <w:pStyle w:val="Heading1"/>
      </w:pPr>
      <w:bookmarkStart w:id="7" w:name="O_1116003"/>
      <w:bookmarkEnd w:id="7"/>
      <w:r w:rsidRPr="004B62DE">
        <w:t>Unit Mapping Information</w:t>
      </w:r>
    </w:p>
    <w:p w:rsidR="00000000" w:rsidRPr="004B62DE" w:rsidP="00EC52B4">
      <w:pPr>
        <w:pStyle w:val="BodyText"/>
      </w:pPr>
      <w:r w:rsidRPr="004B62DE">
        <w:t>Supersedes and is equivalent to PMBTECH506 Analyse the design of product and tools.</w:t>
      </w:r>
    </w:p>
    <w:p w:rsidR="00000000" w:rsidRPr="004B62DE" w:rsidP="004B62DE">
      <w:pPr>
        <w:pStyle w:val="Heading1"/>
      </w:pPr>
      <w:bookmarkStart w:id="8" w:name="O_1116010"/>
      <w:bookmarkEnd w:id="8"/>
      <w:r w:rsidRPr="004B62DE">
        <w:t>Links</w:t>
      </w:r>
    </w:p>
    <w:p w:rsidR="00000000" w:rsidRPr="004B62DE" w:rsidP="00EC52B4">
      <w:pPr>
        <w:pStyle w:val="BodyText"/>
      </w:pPr>
      <w:r w:rsidRPr="004B62D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A17C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B62DE" w:rsidP="004B62DE"/>
    <w:sectPr w:rsidSect="004B6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DE" w:rsidRPr="00EC52B4" w:rsidP="00EC5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4" w:rsidP="004B6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52B4" w:rsidP="004B6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52B4" w:rsidP="004B6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2DE" w:rsidRPr="00EC52B4" w:rsidP="00EC5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2B4" w:rsidRPr="002D2AF8" w:rsidP="004B6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PMBTECH506E Analyse the design of products and tools for polymer injection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C52B4" w:rsidP="004B6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34B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8CE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2DE"/>
  </w:style>
  <w:style w:type="character" w:customStyle="1" w:styleId="Heading1Char">
    <w:name w:val="Heading 1 Char"/>
    <w:basedOn w:val="DefaultParagraphFont"/>
    <w:link w:val="Heading1"/>
    <w:rsid w:val="004B6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2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2DE"/>
    <w:rPr>
      <w:b/>
      <w:spacing w:val="0"/>
    </w:rPr>
  </w:style>
  <w:style w:type="character" w:styleId="Emphasis">
    <w:name w:val="Emphasis"/>
    <w:basedOn w:val="DefaultParagraphFont"/>
    <w:qFormat/>
    <w:rsid w:val="004B62DE"/>
    <w:rPr>
      <w:i/>
    </w:rPr>
  </w:style>
  <w:style w:type="paragraph" w:customStyle="1" w:styleId="SuperHeading">
    <w:name w:val="SuperHeading"/>
    <w:basedOn w:val="Normal"/>
    <w:rsid w:val="004B6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2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2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2DE"/>
  </w:style>
  <w:style w:type="paragraph" w:styleId="TableofFigures">
    <w:name w:val="table of figures"/>
    <w:basedOn w:val="Normal"/>
    <w:next w:val="Normal"/>
    <w:semiHidden/>
    <w:rsid w:val="004B6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2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62DE"/>
    <w:rPr>
      <w:rFonts w:ascii="Wingdings" w:hAnsi="Wingdings"/>
    </w:rPr>
  </w:style>
  <w:style w:type="paragraph" w:customStyle="1" w:styleId="TableHeading">
    <w:name w:val="Table Heading"/>
    <w:basedOn w:val="HeadingBase"/>
    <w:rsid w:val="004B6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2DE"/>
    <w:rPr>
      <w:color w:val="0033CC"/>
      <w:u w:val="none"/>
    </w:rPr>
  </w:style>
  <w:style w:type="paragraph" w:customStyle="1" w:styleId="BodyTextRight">
    <w:name w:val="Body Text Right"/>
    <w:basedOn w:val="BodyText"/>
    <w:rsid w:val="004B6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2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2DE"/>
    <w:rPr>
      <w:sz w:val="32"/>
    </w:rPr>
  </w:style>
  <w:style w:type="paragraph" w:customStyle="1" w:styleId="HeadingProcedure">
    <w:name w:val="Heading Procedure"/>
    <w:basedOn w:val="HeadingBase"/>
    <w:next w:val="Normal"/>
    <w:rsid w:val="004B6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2DE"/>
    <w:pPr>
      <w:spacing w:before="60" w:after="60"/>
    </w:pPr>
  </w:style>
  <w:style w:type="paragraph" w:styleId="ListContinue">
    <w:name w:val="List Continue"/>
    <w:basedOn w:val="List"/>
    <w:rsid w:val="004B62DE"/>
    <w:pPr>
      <w:ind w:firstLine="0"/>
    </w:pPr>
  </w:style>
  <w:style w:type="paragraph" w:customStyle="1" w:styleId="ListNote">
    <w:name w:val="List Note"/>
    <w:basedOn w:val="List"/>
    <w:rsid w:val="004B6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2DE"/>
    <w:rPr>
      <w:rFonts w:ascii="Courier New" w:hAnsi="Courier New"/>
    </w:rPr>
  </w:style>
  <w:style w:type="paragraph" w:customStyle="1" w:styleId="NoteBullet">
    <w:name w:val="Note Bullet"/>
    <w:basedOn w:val="Note"/>
    <w:rsid w:val="004B6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2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6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2DE"/>
    <w:rPr>
      <w:b/>
      <w:smallCaps/>
    </w:rPr>
  </w:style>
  <w:style w:type="paragraph" w:customStyle="1" w:styleId="TableListNumber">
    <w:name w:val="Table List Number"/>
    <w:basedOn w:val="ListNumber"/>
    <w:rsid w:val="004B6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2DE"/>
    <w:pPr>
      <w:numPr>
        <w:numId w:val="8"/>
      </w:numPr>
    </w:pPr>
  </w:style>
  <w:style w:type="paragraph" w:customStyle="1" w:styleId="ListAlpha2">
    <w:name w:val="List Alpha 2"/>
    <w:basedOn w:val="List2"/>
    <w:rsid w:val="004B62DE"/>
    <w:pPr>
      <w:numPr>
        <w:numId w:val="7"/>
      </w:numPr>
    </w:pPr>
  </w:style>
  <w:style w:type="paragraph" w:styleId="List2">
    <w:name w:val="List 2"/>
    <w:basedOn w:val="BodyText"/>
    <w:rsid w:val="004B6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2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2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2DE"/>
    <w:pPr>
      <w:numPr>
        <w:numId w:val="3"/>
      </w:numPr>
    </w:pPr>
  </w:style>
  <w:style w:type="paragraph" w:styleId="ListContinue2">
    <w:name w:val="List Continue 2"/>
    <w:basedOn w:val="List2"/>
    <w:rsid w:val="004B62DE"/>
    <w:pPr>
      <w:ind w:firstLine="0"/>
    </w:pPr>
  </w:style>
  <w:style w:type="paragraph" w:styleId="ListContinue3">
    <w:name w:val="List Continue 3"/>
    <w:basedOn w:val="List3"/>
    <w:rsid w:val="004B62DE"/>
    <w:pPr>
      <w:ind w:left="1021" w:firstLine="0"/>
    </w:pPr>
  </w:style>
  <w:style w:type="paragraph" w:styleId="ListContinue4">
    <w:name w:val="List Continue 4"/>
    <w:basedOn w:val="List4"/>
    <w:rsid w:val="004B62DE"/>
    <w:pPr>
      <w:ind w:firstLine="0"/>
    </w:pPr>
  </w:style>
  <w:style w:type="paragraph" w:styleId="ListContinue5">
    <w:name w:val="List Continue 5"/>
    <w:basedOn w:val="List5"/>
    <w:rsid w:val="004B62DE"/>
    <w:pPr>
      <w:ind w:firstLine="0"/>
    </w:pPr>
  </w:style>
  <w:style w:type="paragraph" w:styleId="ListNumber3">
    <w:name w:val="List Number 3"/>
    <w:basedOn w:val="List3"/>
    <w:rsid w:val="004B62DE"/>
    <w:pPr>
      <w:numPr>
        <w:numId w:val="4"/>
      </w:numPr>
    </w:pPr>
  </w:style>
  <w:style w:type="paragraph" w:styleId="ListNumber4">
    <w:name w:val="List Number 4"/>
    <w:basedOn w:val="List4"/>
    <w:rsid w:val="004B62DE"/>
    <w:pPr>
      <w:numPr>
        <w:numId w:val="5"/>
      </w:numPr>
    </w:pPr>
  </w:style>
  <w:style w:type="paragraph" w:styleId="ListNumber5">
    <w:name w:val="List Number 5"/>
    <w:basedOn w:val="List5"/>
    <w:rsid w:val="004B62DE"/>
    <w:pPr>
      <w:numPr>
        <w:numId w:val="6"/>
      </w:numPr>
    </w:pPr>
  </w:style>
  <w:style w:type="paragraph" w:styleId="BlockText">
    <w:name w:val="Block Text"/>
    <w:basedOn w:val="Normal"/>
    <w:rsid w:val="004B6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2DE"/>
    <w:rPr>
      <w:sz w:val="16"/>
      <w:vertAlign w:val="superscript"/>
    </w:rPr>
  </w:style>
  <w:style w:type="character" w:customStyle="1" w:styleId="Symbols">
    <w:name w:val="Symbols"/>
    <w:basedOn w:val="DefaultParagraphFont"/>
    <w:rsid w:val="004B62DE"/>
    <w:rPr>
      <w:rFonts w:ascii="Symbol" w:hAnsi="Symbol"/>
    </w:rPr>
  </w:style>
  <w:style w:type="character" w:customStyle="1" w:styleId="MenuOptions">
    <w:name w:val="Menu Options"/>
    <w:basedOn w:val="DefaultParagraphFont"/>
    <w:rsid w:val="004B6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2DE"/>
    <w:rPr>
      <w:b/>
    </w:rPr>
  </w:style>
  <w:style w:type="character" w:customStyle="1" w:styleId="Underlined">
    <w:name w:val="Underlined"/>
    <w:basedOn w:val="DefaultParagraphFont"/>
    <w:rsid w:val="004B62DE"/>
    <w:rPr>
      <w:u w:val="single"/>
    </w:rPr>
  </w:style>
  <w:style w:type="paragraph" w:customStyle="1" w:styleId="TableBodyTextRight">
    <w:name w:val="Table Body Text Right"/>
    <w:basedOn w:val="TableBodyText"/>
    <w:rsid w:val="004B6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2DE"/>
    <w:rPr>
      <w:sz w:val="18"/>
    </w:rPr>
  </w:style>
  <w:style w:type="paragraph" w:customStyle="1" w:styleId="BodySmallRight">
    <w:name w:val="Body Small Right"/>
    <w:basedOn w:val="BodyTextRight"/>
    <w:rsid w:val="004B62DE"/>
    <w:rPr>
      <w:sz w:val="18"/>
      <w:szCs w:val="18"/>
    </w:rPr>
  </w:style>
  <w:style w:type="paragraph" w:customStyle="1" w:styleId="MarginEdition">
    <w:name w:val="Margin Edition"/>
    <w:basedOn w:val="MarginNote"/>
    <w:rsid w:val="004B6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2DE"/>
    <w:rPr>
      <w:sz w:val="2"/>
      <w:szCs w:val="2"/>
    </w:rPr>
  </w:style>
  <w:style w:type="character" w:customStyle="1" w:styleId="Small">
    <w:name w:val="Small"/>
    <w:basedOn w:val="DefaultParagraphFont"/>
    <w:rsid w:val="004B62DE"/>
    <w:rPr>
      <w:sz w:val="16"/>
    </w:rPr>
  </w:style>
  <w:style w:type="paragraph" w:customStyle="1" w:styleId="WideTable">
    <w:name w:val="Wide Table"/>
    <w:basedOn w:val="Normal"/>
    <w:rsid w:val="004B6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2DE"/>
  </w:style>
  <w:style w:type="paragraph" w:styleId="Quote">
    <w:name w:val="Quote"/>
    <w:basedOn w:val="Heading1"/>
    <w:link w:val="QuoteChar"/>
    <w:qFormat/>
    <w:rsid w:val="004B6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2DE"/>
    <w:pPr>
      <w:pageBreakBefore/>
    </w:pPr>
  </w:style>
  <w:style w:type="paragraph" w:customStyle="1" w:styleId="Border">
    <w:name w:val="Border"/>
    <w:basedOn w:val="Normal"/>
    <w:qFormat/>
    <w:rsid w:val="004B6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2DE"/>
    <w:rPr>
      <w:u w:val="single"/>
    </w:rPr>
  </w:style>
  <w:style w:type="character" w:customStyle="1" w:styleId="BoldandItalics">
    <w:name w:val="Bold and Italics"/>
    <w:qFormat/>
    <w:rsid w:val="004B62DE"/>
    <w:rPr>
      <w:b/>
      <w:i/>
      <w:u w:val="none"/>
    </w:rPr>
  </w:style>
  <w:style w:type="paragraph" w:styleId="BalloonText">
    <w:name w:val="Balloon Text"/>
    <w:basedOn w:val="Normal"/>
    <w:link w:val="BalloonTextChar"/>
    <w:rsid w:val="004B6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2DE"/>
    <w:pPr>
      <w:spacing w:before="0" w:after="0"/>
    </w:pPr>
  </w:style>
  <w:style w:type="paragraph" w:customStyle="1" w:styleId="BodyTextBold">
    <w:name w:val="Body Text Bold"/>
    <w:basedOn w:val="BodyText"/>
    <w:qFormat/>
    <w:rsid w:val="004B62DE"/>
    <w:rPr>
      <w:b/>
    </w:rPr>
  </w:style>
  <w:style w:type="character" w:styleId="Hyperlink">
    <w:name w:val="Hyperlink"/>
    <w:basedOn w:val="DefaultParagraphFont"/>
    <w:uiPriority w:val="99"/>
    <w:unhideWhenUsed/>
    <w:rsid w:val="00EC52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3095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PMBTECH506E Analyse the design of products and tools for polymer injection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