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098" w:rsidP="00C12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PMBTECH505 Choose polymer materials for an application</w:t>
      </w:r>
      <w:r>
        <w:fldChar w:fldCharType="end"/>
      </w:r>
    </w:p>
    <w:p w:rsidR="00C12098" w:rsidP="00C12098">
      <w:pPr>
        <w:pStyle w:val="Version"/>
        <w:sectPr w:rsidSect="00625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EDC" w:rsidP="00625EDC">
      <w:pPr>
        <w:pStyle w:val="SuperHeading"/>
      </w:pPr>
      <w:r w:rsidRPr="00625EDC">
        <w:t>Assessment Requirements for PMBTECH505 Choose polymer materials for an application</w:t>
      </w:r>
    </w:p>
    <w:p w:rsidR="00000000" w:rsidRPr="00625EDC" w:rsidP="00625EDC">
      <w:pPr>
        <w:pStyle w:val="Heading1"/>
      </w:pPr>
      <w:bookmarkStart w:id="1" w:name="O_927572"/>
      <w:bookmarkEnd w:id="1"/>
      <w:r w:rsidRPr="00625EDC">
        <w:t>Modification History</w:t>
      </w:r>
    </w:p>
    <w:p w:rsidR="00000000" w:rsidRPr="00625EDC" w:rsidP="00625EDC">
      <w:pPr>
        <w:pStyle w:val="BodyText"/>
      </w:pPr>
      <w:r w:rsidRPr="00625EDC">
        <w:t xml:space="preserve">Release 1. Supersedes and is equivalent to PMBTECH505B Choose polymer materials for an application  </w:t>
      </w:r>
    </w:p>
    <w:p w:rsidR="00000000" w:rsidRPr="00625EDC" w:rsidP="00625EDC">
      <w:pPr>
        <w:pStyle w:val="AllowPageBreak"/>
      </w:pPr>
    </w:p>
    <w:p w:rsidR="00000000" w:rsidRPr="00625EDC" w:rsidP="00625EDC">
      <w:pPr>
        <w:pStyle w:val="Heading1"/>
      </w:pPr>
      <w:bookmarkStart w:id="2" w:name="O_927575"/>
      <w:bookmarkEnd w:id="2"/>
      <w:r w:rsidRPr="00625EDC">
        <w:t>Performance Evidence</w:t>
      </w:r>
    </w:p>
    <w:p w:rsidR="00000000" w:rsidRPr="00625EDC" w:rsidP="00625EDC">
      <w:pPr>
        <w:pStyle w:val="BodyText"/>
      </w:pPr>
      <w:r w:rsidRPr="00625EDC">
        <w:t>Evidence required to demonstrate competence in this unit must be relevant to and satisfy the requirements of the elements and performance criteria and demonstrate the ability to:</w:t>
      </w:r>
    </w:p>
    <w:p w:rsidR="00000000" w:rsidRPr="00625EDC" w:rsidP="00625EDC">
      <w:pPr>
        <w:pStyle w:val="ListBullet"/>
      </w:pPr>
      <w:r w:rsidRPr="00625EDC">
        <w:t xml:space="preserve">determine polymer properties based on polymer type and </w:t>
      </w:r>
      <w:r w:rsidRPr="00625EDC">
        <w:t>polymer structure</w:t>
      </w:r>
    </w:p>
    <w:p w:rsidR="00000000" w:rsidRPr="00625EDC" w:rsidP="00625EDC">
      <w:pPr>
        <w:pStyle w:val="ListBullet"/>
      </w:pPr>
      <w:r w:rsidRPr="00625EDC">
        <w:t xml:space="preserve">select appropriate polymers and additives to meet product property requirements </w:t>
      </w:r>
    </w:p>
    <w:p w:rsidR="00000000" w:rsidRPr="00625EDC" w:rsidP="00625EDC">
      <w:pPr>
        <w:pStyle w:val="ListBullet"/>
      </w:pPr>
      <w:r w:rsidRPr="00625EDC">
        <w:t>develop formulation and determine production processes</w:t>
      </w:r>
    </w:p>
    <w:p w:rsidR="00000000" w:rsidRPr="00625EDC" w:rsidP="00625EDC">
      <w:pPr>
        <w:pStyle w:val="ListBullet"/>
      </w:pPr>
      <w:r w:rsidRPr="00625EDC">
        <w:t>select and organise tests</w:t>
      </w:r>
    </w:p>
    <w:p w:rsidR="00000000" w:rsidRPr="00625EDC" w:rsidP="00625EDC">
      <w:pPr>
        <w:pStyle w:val="ListBullet"/>
      </w:pPr>
      <w:r w:rsidRPr="00625EDC">
        <w:t>interpret test results and make modifications based on the results.</w:t>
      </w:r>
    </w:p>
    <w:p w:rsidR="00000000" w:rsidRPr="00625EDC" w:rsidP="00625EDC">
      <w:pPr>
        <w:pStyle w:val="AllowPageBreak"/>
      </w:pPr>
    </w:p>
    <w:p w:rsidR="00000000" w:rsidRPr="00625EDC" w:rsidP="00625EDC">
      <w:pPr>
        <w:pStyle w:val="Heading1"/>
      </w:pPr>
      <w:bookmarkStart w:id="3" w:name="O_927574"/>
      <w:bookmarkEnd w:id="3"/>
      <w:r w:rsidRPr="00625EDC">
        <w:t>Knowledge Evidence</w:t>
      </w:r>
    </w:p>
    <w:p w:rsidR="00000000" w:rsidRPr="00625EDC" w:rsidP="00625EDC">
      <w:pPr>
        <w:pStyle w:val="BodyText"/>
      </w:pPr>
      <w:r w:rsidRPr="00625EDC">
        <w:t>Must provide evidence that demonstrates knowledge relevant to their job sufficient to fulfil their job role, including knowledge of:</w:t>
      </w:r>
    </w:p>
    <w:p w:rsidR="00000000" w:rsidRPr="00625EDC" w:rsidP="00625EDC">
      <w:pPr>
        <w:pStyle w:val="ListBullet"/>
      </w:pPr>
      <w:r w:rsidRPr="00625EDC">
        <w:t xml:space="preserve">polymerisation process </w:t>
      </w:r>
    </w:p>
    <w:p w:rsidR="00000000" w:rsidRPr="00625EDC" w:rsidP="00625EDC">
      <w:pPr>
        <w:pStyle w:val="ListBullet"/>
      </w:pPr>
      <w:r w:rsidRPr="00625EDC">
        <w:t>polymer characteristics</w:t>
      </w:r>
    </w:p>
    <w:p w:rsidR="00000000" w:rsidRPr="00625EDC" w:rsidP="00625EDC">
      <w:pPr>
        <w:pStyle w:val="ListBullet"/>
      </w:pPr>
      <w:r w:rsidRPr="00625EDC">
        <w:t>property changes caused by different mechanism</w:t>
      </w:r>
      <w:r w:rsidRPr="00625EDC">
        <w:t>s and conditions for addition polymerisation</w:t>
      </w:r>
    </w:p>
    <w:p w:rsidR="00000000" w:rsidRPr="00625EDC" w:rsidP="00625EDC">
      <w:pPr>
        <w:pStyle w:val="ListBullet"/>
      </w:pPr>
      <w:r w:rsidRPr="00625EDC">
        <w:t>typical processing conditions for typical polymers, such as polythene</w:t>
      </w:r>
    </w:p>
    <w:p w:rsidR="00000000" w:rsidRPr="00625EDC" w:rsidP="00625EDC">
      <w:pPr>
        <w:pStyle w:val="ListBullet"/>
      </w:pPr>
      <w:r w:rsidRPr="00625EDC">
        <w:t>property changes caused by using bulk, suspension, solution and emulsion addition polymerisation</w:t>
      </w:r>
    </w:p>
    <w:p w:rsidR="00000000" w:rsidRPr="00625EDC" w:rsidP="00625EDC">
      <w:pPr>
        <w:pStyle w:val="ListBullet"/>
      </w:pPr>
      <w:r w:rsidRPr="00625EDC">
        <w:t>property changes caused by different mechani</w:t>
      </w:r>
      <w:r w:rsidRPr="00625EDC">
        <w:t>sms for condensation polymerisation</w:t>
      </w:r>
    </w:p>
    <w:p w:rsidR="00000000" w:rsidRPr="00625EDC" w:rsidP="00625EDC">
      <w:pPr>
        <w:pStyle w:val="ListBullet"/>
      </w:pPr>
      <w:r w:rsidRPr="00625EDC">
        <w:t>the formation of cross-linked polymers</w:t>
      </w:r>
    </w:p>
    <w:p w:rsidR="00000000" w:rsidRPr="00625EDC" w:rsidP="00625EDC">
      <w:pPr>
        <w:pStyle w:val="ListBullet"/>
      </w:pPr>
      <w:r w:rsidRPr="00625EDC">
        <w:t>the properties of cross-linked polymers</w:t>
      </w:r>
    </w:p>
    <w:p w:rsidR="00000000" w:rsidRPr="00625EDC" w:rsidP="00625EDC">
      <w:pPr>
        <w:pStyle w:val="ListBullet"/>
      </w:pPr>
      <w:r w:rsidRPr="00625EDC">
        <w:t>impact of polymerisation process on polymer properties</w:t>
      </w:r>
    </w:p>
    <w:p w:rsidR="00000000" w:rsidRPr="00625EDC" w:rsidP="00625EDC">
      <w:pPr>
        <w:pStyle w:val="ListBullet"/>
      </w:pPr>
      <w:r w:rsidRPr="00625EDC">
        <w:t>impact of polymer structure on polymer properties</w:t>
      </w:r>
    </w:p>
    <w:p w:rsidR="00000000" w:rsidRPr="00625EDC" w:rsidP="00625EDC">
      <w:pPr>
        <w:pStyle w:val="ListBullet"/>
      </w:pPr>
      <w:r w:rsidRPr="00625EDC">
        <w:t>properties and applications of polymers</w:t>
      </w:r>
    </w:p>
    <w:p w:rsidR="00000000" w:rsidRPr="00625EDC" w:rsidP="00625EDC">
      <w:pPr>
        <w:pStyle w:val="ListBullet"/>
      </w:pPr>
      <w:r w:rsidRPr="00625EDC">
        <w:t>the impact of tacticity on addition polymer properties</w:t>
      </w:r>
    </w:p>
    <w:p w:rsidR="00000000" w:rsidRPr="00625EDC" w:rsidP="00625EDC">
      <w:pPr>
        <w:pStyle w:val="ListBullet"/>
      </w:pPr>
      <w:r w:rsidRPr="00625EDC">
        <w:t>the property changes caused by different copolymer structures</w:t>
      </w:r>
    </w:p>
    <w:p w:rsidR="00000000" w:rsidRPr="00625EDC" w:rsidP="00625EDC">
      <w:pPr>
        <w:pStyle w:val="ListBullet"/>
      </w:pPr>
      <w:r w:rsidRPr="00625EDC">
        <w:t>the influence of molecular structure on chain regularity</w:t>
      </w:r>
    </w:p>
    <w:p w:rsidR="00000000" w:rsidRPr="00625EDC" w:rsidP="00625EDC">
      <w:pPr>
        <w:pStyle w:val="ListBullet"/>
      </w:pPr>
      <w:r w:rsidRPr="00625EDC">
        <w:t>the difference between polymer reinforceme</w:t>
      </w:r>
      <w:r w:rsidRPr="00625EDC">
        <w:t>nts and polymer composites</w:t>
      </w:r>
    </w:p>
    <w:p w:rsidR="00000000" w:rsidRPr="00625EDC" w:rsidP="00625EDC">
      <w:pPr>
        <w:pStyle w:val="ListBullet"/>
      </w:pPr>
      <w:r w:rsidRPr="00625EDC">
        <w:t>test methods</w:t>
      </w:r>
    </w:p>
    <w:p w:rsidR="00000000" w:rsidRPr="00625EDC" w:rsidP="00625EDC">
      <w:pPr>
        <w:pStyle w:val="ListBullet"/>
      </w:pPr>
      <w:r w:rsidRPr="00625EDC">
        <w:t>basic chemistry, including:</w:t>
      </w:r>
    </w:p>
    <w:p w:rsidR="00000000" w:rsidRPr="00625EDC" w:rsidP="00625EDC">
      <w:pPr>
        <w:pStyle w:val="ListBullet2"/>
      </w:pPr>
      <w:r w:rsidRPr="00625EDC">
        <w:t>atomic structure</w:t>
      </w:r>
    </w:p>
    <w:p w:rsidR="00000000" w:rsidRPr="00625EDC" w:rsidP="00625EDC">
      <w:pPr>
        <w:pStyle w:val="ListBullet2"/>
      </w:pPr>
      <w:r w:rsidRPr="00625EDC">
        <w:t>molecular weight</w:t>
      </w:r>
    </w:p>
    <w:p w:rsidR="00000000" w:rsidRPr="00625EDC" w:rsidP="00625EDC">
      <w:pPr>
        <w:pStyle w:val="ListBullet2"/>
      </w:pPr>
      <w:r w:rsidRPr="00625EDC">
        <w:t>periodic table</w:t>
      </w:r>
    </w:p>
    <w:p w:rsidR="00000000" w:rsidRPr="00625EDC" w:rsidP="00625EDC">
      <w:pPr>
        <w:pStyle w:val="ListBullet2"/>
      </w:pPr>
      <w:r w:rsidRPr="00625EDC">
        <w:t>ionic and covalent bonding</w:t>
      </w:r>
    </w:p>
    <w:p w:rsidR="00000000" w:rsidRPr="00625EDC" w:rsidP="00625EDC">
      <w:pPr>
        <w:pStyle w:val="ListBullet2"/>
      </w:pPr>
      <w:r w:rsidRPr="00625EDC">
        <w:t>intermolecular bonding</w:t>
      </w:r>
    </w:p>
    <w:p w:rsidR="00000000" w:rsidRPr="00625EDC" w:rsidP="00625EDC">
      <w:pPr>
        <w:pStyle w:val="ListBullet2"/>
      </w:pPr>
      <w:r w:rsidRPr="00625EDC">
        <w:t>hydrogen bonding</w:t>
      </w:r>
    </w:p>
    <w:p w:rsidR="00000000" w:rsidRPr="00625EDC" w:rsidP="00625EDC">
      <w:pPr>
        <w:pStyle w:val="ListBullet2"/>
      </w:pPr>
      <w:r w:rsidRPr="00625EDC">
        <w:t>structure of organic compounds</w:t>
      </w:r>
    </w:p>
    <w:p w:rsidR="00000000" w:rsidRPr="00625EDC" w:rsidP="00625EDC">
      <w:pPr>
        <w:pStyle w:val="ListBullet2"/>
      </w:pPr>
      <w:r w:rsidRPr="00625EDC">
        <w:t>functional groups and typical reactions</w:t>
      </w:r>
    </w:p>
    <w:p w:rsidR="00000000" w:rsidRPr="00625EDC" w:rsidP="00625EDC">
      <w:pPr>
        <w:pStyle w:val="ListBullet2"/>
      </w:pPr>
      <w:r w:rsidRPr="00625EDC">
        <w:t>saturated and unsaturated compounds</w:t>
      </w:r>
    </w:p>
    <w:p w:rsidR="00000000" w:rsidRPr="00625EDC" w:rsidP="00625EDC">
      <w:pPr>
        <w:pStyle w:val="ListBullet2"/>
      </w:pPr>
      <w:r w:rsidRPr="00625EDC">
        <w:t>aromatic compounds</w:t>
      </w:r>
    </w:p>
    <w:p w:rsidR="00000000" w:rsidRPr="00625EDC" w:rsidP="00625EDC">
      <w:pPr>
        <w:pStyle w:val="ListBullet2"/>
      </w:pPr>
      <w:r w:rsidRPr="00625EDC">
        <w:t xml:space="preserve">hydrolysis </w:t>
      </w:r>
    </w:p>
    <w:p w:rsidR="00000000" w:rsidRPr="00625EDC" w:rsidP="00625EDC">
      <w:pPr>
        <w:pStyle w:val="ListBullet2"/>
      </w:pPr>
      <w:r w:rsidRPr="00625EDC">
        <w:t>addition reactions</w:t>
      </w:r>
    </w:p>
    <w:p w:rsidR="00000000" w:rsidRPr="00625EDC" w:rsidP="00625EDC">
      <w:pPr>
        <w:pStyle w:val="ListBullet"/>
      </w:pPr>
      <w:r w:rsidRPr="00625EDC">
        <w:t>organisation procedures relevant to the work environment/job role</w:t>
      </w:r>
    </w:p>
    <w:p w:rsidR="00000000" w:rsidRPr="00625EDC" w:rsidP="00625EDC">
      <w:pPr>
        <w:pStyle w:val="ListBullet"/>
      </w:pPr>
      <w:r w:rsidRPr="00625EDC">
        <w:t>hierarchy of control</w:t>
      </w:r>
    </w:p>
    <w:p w:rsidR="00000000" w:rsidRPr="00625EDC" w:rsidP="00625EDC">
      <w:pPr>
        <w:pStyle w:val="ListBullet"/>
      </w:pPr>
      <w:r w:rsidRPr="00625EDC">
        <w:t>hazards that may arise in the job/work environment and:</w:t>
      </w:r>
    </w:p>
    <w:p w:rsidR="00000000" w:rsidRPr="00625EDC" w:rsidP="00625EDC">
      <w:pPr>
        <w:pStyle w:val="ListBullet2"/>
      </w:pPr>
      <w:r w:rsidRPr="00625EDC">
        <w:t xml:space="preserve">their possible causes </w:t>
      </w:r>
    </w:p>
    <w:p w:rsidR="00000000" w:rsidRPr="00625EDC" w:rsidP="00625EDC">
      <w:pPr>
        <w:pStyle w:val="ListBullet2"/>
      </w:pPr>
      <w:r w:rsidRPr="00625EDC">
        <w:t>po</w:t>
      </w:r>
      <w:r w:rsidRPr="00625EDC">
        <w:t>tential consequences</w:t>
      </w:r>
    </w:p>
    <w:p w:rsidR="00000000" w:rsidRPr="00625EDC" w:rsidP="00625EDC">
      <w:pPr>
        <w:pStyle w:val="ListBullet2"/>
      </w:pPr>
      <w:r w:rsidRPr="00625EDC">
        <w:t>appropriate risk controls.</w:t>
      </w:r>
    </w:p>
    <w:p w:rsidR="00000000" w:rsidRPr="00625EDC" w:rsidP="00625EDC">
      <w:pPr>
        <w:pStyle w:val="AllowPageBreak"/>
      </w:pPr>
    </w:p>
    <w:p w:rsidR="00000000" w:rsidRPr="00625EDC" w:rsidP="00625EDC">
      <w:pPr>
        <w:pStyle w:val="Heading1"/>
      </w:pPr>
      <w:bookmarkStart w:id="4" w:name="O_927573"/>
      <w:bookmarkEnd w:id="4"/>
      <w:r w:rsidRPr="00625EDC">
        <w:t>Assessment Conditions</w:t>
      </w:r>
    </w:p>
    <w:p w:rsidR="00000000" w:rsidRPr="00625EDC" w:rsidP="00625EDC">
      <w:pPr>
        <w:pStyle w:val="ListBullet"/>
      </w:pPr>
      <w:r w:rsidRPr="00625EDC">
        <w:t xml:space="preserve">The unit should be assessed holistically and the judgement of competence shall be based on a holistic assessment of the evidence. </w:t>
      </w:r>
    </w:p>
    <w:p w:rsidR="00000000" w:rsidRPr="00625EDC" w:rsidP="00625EDC">
      <w:pPr>
        <w:pStyle w:val="ListBullet"/>
      </w:pPr>
      <w:r w:rsidRPr="00625EDC">
        <w:t>The collection of performance evidence is best done from a report and/or folio of evidence drawn from:</w:t>
      </w:r>
    </w:p>
    <w:p w:rsidR="00000000" w:rsidRPr="00625EDC" w:rsidP="00625EDC">
      <w:pPr>
        <w:pStyle w:val="ListBullet2"/>
      </w:pPr>
      <w:r w:rsidRPr="00625EDC">
        <w:t>a single project which provides sufficient evidence of the requirements of all the elements and performance criteria</w:t>
      </w:r>
    </w:p>
    <w:p w:rsidR="00000000" w:rsidRPr="00625EDC" w:rsidP="00625EDC">
      <w:pPr>
        <w:pStyle w:val="ListBullet2"/>
      </w:pPr>
      <w:r w:rsidRPr="00625EDC">
        <w:t>multiple smaller projects which tog</w:t>
      </w:r>
      <w:r w:rsidRPr="00625EDC">
        <w:t>ether provide sufficient evidence of the requirements of all the elements and performance criteria.</w:t>
      </w:r>
    </w:p>
    <w:p w:rsidR="00000000" w:rsidRPr="00625EDC" w:rsidP="00625EDC">
      <w:pPr>
        <w:pStyle w:val="ListBullet"/>
      </w:pPr>
      <w:r w:rsidRPr="00625EDC">
        <w:t>A third-party report, or similar, may be needed to testify to the work done by the individual, particularly when the project has been done as part of a pro</w:t>
      </w:r>
      <w:r w:rsidRPr="00625EDC">
        <w:t>ject team.</w:t>
      </w:r>
    </w:p>
    <w:p w:rsidR="00000000" w:rsidRPr="00625EDC" w:rsidP="00625EDC">
      <w:pPr>
        <w:pStyle w:val="ListBullet"/>
      </w:pPr>
      <w:r w:rsidRPr="00625EDC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625EDC">
        <w:t xml:space="preserve">lects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625EDC" w:rsidP="00625EDC">
      <w:pPr>
        <w:pStyle w:val="ListBullet"/>
      </w:pPr>
      <w:r w:rsidRPr="00625EDC">
        <w:t>Assessment in a simulated e</w:t>
      </w:r>
      <w:r w:rsidRPr="00625EDC">
        <w:t xml:space="preserve">nvironment should use evidence collected from demonstration of skills and one or more of: </w:t>
      </w:r>
    </w:p>
    <w:p w:rsidR="00000000" w:rsidRPr="00625EDC" w:rsidP="00625EDC">
      <w:pPr>
        <w:pStyle w:val="ListBullet2"/>
      </w:pPr>
      <w:r w:rsidRPr="00625EDC">
        <w:t>walk-throughs</w:t>
      </w:r>
    </w:p>
    <w:p w:rsidR="00000000" w:rsidRPr="00625EDC" w:rsidP="00625EDC">
      <w:pPr>
        <w:pStyle w:val="ListBullet2"/>
      </w:pPr>
      <w:r w:rsidRPr="00625EDC">
        <w:t>pilot plant operation</w:t>
      </w:r>
    </w:p>
    <w:p w:rsidR="00000000" w:rsidRPr="00625EDC" w:rsidP="00625EDC">
      <w:pPr>
        <w:pStyle w:val="ListBullet2"/>
      </w:pPr>
      <w:r w:rsidRPr="00625EDC">
        <w:t xml:space="preserve">industry-based case studies/scenarios </w:t>
      </w:r>
    </w:p>
    <w:p w:rsidR="00000000" w:rsidRPr="00625EDC" w:rsidP="00625EDC">
      <w:pPr>
        <w:pStyle w:val="ListBullet2"/>
      </w:pPr>
      <w:r w:rsidRPr="00625EDC">
        <w:t>‘what ifs’.</w:t>
      </w:r>
    </w:p>
    <w:p w:rsidR="00000000" w:rsidRPr="00625EDC" w:rsidP="00625EDC">
      <w:pPr>
        <w:pStyle w:val="ListBullet"/>
      </w:pPr>
      <w:r w:rsidRPr="00625EDC">
        <w:t>Knowledge evidence may be collected c</w:t>
      </w:r>
      <w:r w:rsidRPr="00625EDC">
        <w:t>oncurrently with performance evidence or through an independent process, such as workbooks, written assessments or interviews.</w:t>
      </w:r>
    </w:p>
    <w:p w:rsidR="00000000" w:rsidRPr="00625EDC" w:rsidP="00625EDC">
      <w:pPr>
        <w:pStyle w:val="ListBullet"/>
      </w:pPr>
      <w:r w:rsidRPr="00625EDC">
        <w:t>Assessment processes and techniques must be appropriate to the language, literacy and numeracy requirements of the work being per</w:t>
      </w:r>
      <w:r w:rsidRPr="00625EDC">
        <w:t>formed and the needs of the candidate.</w:t>
      </w:r>
    </w:p>
    <w:p w:rsidR="00000000" w:rsidRPr="00625EDC" w:rsidP="00625EDC">
      <w:pPr>
        <w:pStyle w:val="ListBullet"/>
      </w:pPr>
      <w:r w:rsidRPr="00625ED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25EDC" w:rsidP="00625EDC">
      <w:pPr>
        <w:pStyle w:val="ListBullet"/>
      </w:pPr>
      <w:r w:rsidRPr="00625EDC">
        <w:t>The regulatory framework will be reflected in workplace policies and procedures and is not required to be independently assessed.</w:t>
      </w:r>
    </w:p>
    <w:p w:rsidR="00000000" w:rsidRPr="00625EDC" w:rsidP="00625EDC">
      <w:pPr>
        <w:pStyle w:val="ListBullet"/>
      </w:pPr>
      <w:r w:rsidRPr="00625EDC">
        <w:t>Foundation skills are integral to competent performance of the unit and should not be assessed separately.</w:t>
      </w:r>
    </w:p>
    <w:p w:rsidR="00000000" w:rsidRPr="00625EDC" w:rsidP="00625EDC">
      <w:pPr>
        <w:pStyle w:val="ListBullet"/>
      </w:pPr>
      <w:r w:rsidRPr="00625EDC">
        <w:t>Assessors must sat</w:t>
      </w:r>
      <w:r w:rsidRPr="00625EDC">
        <w:t>isfy the assessor competency requirements that are in place at the time of the assessment as set by the VET regulator.</w:t>
      </w:r>
    </w:p>
    <w:p w:rsidR="00000000" w:rsidRPr="00625EDC" w:rsidP="00625EDC">
      <w:pPr>
        <w:pStyle w:val="ListBullet"/>
      </w:pPr>
      <w:r w:rsidRPr="00625EDC">
        <w:t>In addition the assessor or anyone acting in subject matter expert role in assessment shall demonstrate both technical competency and cur</w:t>
      </w:r>
      <w:r w:rsidRPr="00625EDC">
        <w:t xml:space="preserve">rency. If the assessor cannot demonstrate technical competency and currency they shall assess with a subject matter expert who does meet these requirements. </w:t>
      </w:r>
    </w:p>
    <w:p w:rsidR="00000000" w:rsidRPr="00625EDC" w:rsidP="00625EDC">
      <w:pPr>
        <w:pStyle w:val="ListBullet"/>
      </w:pPr>
      <w:r w:rsidRPr="00625EDC">
        <w:t>Technical competence can be demonstrated through one or more of:</w:t>
      </w:r>
    </w:p>
    <w:p w:rsidR="00000000" w:rsidRPr="00625EDC" w:rsidP="00625EDC">
      <w:pPr>
        <w:pStyle w:val="ListBullet2"/>
      </w:pPr>
      <w:r w:rsidRPr="00625EDC">
        <w:t>relevant VET or other qualificat</w:t>
      </w:r>
      <w:r w:rsidRPr="00625EDC">
        <w:t xml:space="preserve">ion/Statement of Attainment </w:t>
      </w:r>
    </w:p>
    <w:p w:rsidR="00000000" w:rsidRPr="00625EDC" w:rsidP="00625EDC">
      <w:pPr>
        <w:pStyle w:val="ListBullet2"/>
      </w:pPr>
      <w:r w:rsidRPr="00625EDC">
        <w:t xml:space="preserve">appropriate workplace experience undertaking the type of work being assessed under routine and non-routine conditions </w:t>
      </w:r>
    </w:p>
    <w:p w:rsidR="00000000" w:rsidRPr="00625EDC" w:rsidP="00625EDC">
      <w:pPr>
        <w:pStyle w:val="ListBullet2"/>
      </w:pPr>
      <w:r w:rsidRPr="00625EDC">
        <w:t>appropriate workplace experience supervising/evaluating the type of work being assessed under routine and no</w:t>
      </w:r>
      <w:r w:rsidRPr="00625EDC">
        <w:t>n-routine conditions</w:t>
      </w:r>
    </w:p>
    <w:p w:rsidR="00000000" w:rsidRPr="00625EDC" w:rsidP="00625EDC">
      <w:pPr>
        <w:pStyle w:val="ListBullet"/>
      </w:pPr>
      <w:r w:rsidRPr="00625EDC">
        <w:t>Currency can be demonstrated through one or more of:</w:t>
      </w:r>
    </w:p>
    <w:p w:rsidR="00000000" w:rsidRPr="00625EDC" w:rsidP="00625EDC">
      <w:pPr>
        <w:pStyle w:val="ListBullet2"/>
      </w:pPr>
      <w:r w:rsidRPr="00625EDC">
        <w:t xml:space="preserve">being currently employed undertaking the type of work being assessed </w:t>
      </w:r>
    </w:p>
    <w:p w:rsidR="00000000" w:rsidRPr="00625EDC" w:rsidP="00625EDC">
      <w:pPr>
        <w:pStyle w:val="ListBullet2"/>
      </w:pPr>
      <w:r w:rsidRPr="00625EDC">
        <w:t xml:space="preserve">being employed by the organisation undertaking the type of work being assessed and having maintained currency </w:t>
      </w:r>
      <w:r w:rsidRPr="00625EDC">
        <w:t xml:space="preserve">in accordance with that organisation’s policies and procedures </w:t>
      </w:r>
    </w:p>
    <w:p w:rsidR="00000000" w:rsidRPr="00625EDC" w:rsidP="00625EDC">
      <w:pPr>
        <w:pStyle w:val="ListBullet2"/>
      </w:pPr>
      <w:r w:rsidRPr="00625ED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25EDC" w:rsidP="00625EDC">
      <w:pPr>
        <w:pStyle w:val="ListBullet2"/>
      </w:pPr>
      <w:r w:rsidRPr="00625EDC">
        <w:t xml:space="preserve">conducting on the job training/assessments of the type of work being assessed </w:t>
      </w:r>
    </w:p>
    <w:p w:rsidR="00000000" w:rsidRPr="00625EDC" w:rsidP="00625EDC">
      <w:pPr>
        <w:pStyle w:val="ListBullet2"/>
      </w:pPr>
      <w:r w:rsidRPr="00625EDC">
        <w:t>being an active member of a relevant professional body and participating in activities relevant to the assessment of this type of work.</w:t>
      </w:r>
    </w:p>
    <w:p w:rsidR="00000000" w:rsidRPr="00625EDC" w:rsidP="00625EDC">
      <w:pPr>
        <w:pStyle w:val="AllowPageBreak"/>
      </w:pPr>
    </w:p>
    <w:p w:rsidR="00000000" w:rsidRPr="00625EDC" w:rsidP="00625EDC">
      <w:pPr>
        <w:pStyle w:val="Heading1"/>
      </w:pPr>
      <w:bookmarkStart w:id="5" w:name="O_927571"/>
      <w:bookmarkEnd w:id="5"/>
      <w:r w:rsidRPr="00625EDC">
        <w:t>Links</w:t>
      </w:r>
    </w:p>
    <w:p w:rsidR="00000000" w:rsidRPr="00625EDC" w:rsidP="00625EDC">
      <w:pPr>
        <w:pStyle w:val="BodyText"/>
      </w:pPr>
      <w:r w:rsidRPr="00625EDC">
        <w:t>MSA Training Packa</w:t>
      </w:r>
      <w:r w:rsidRPr="00625EDC">
        <w:t>ge Implementation Guides - http://mskills.org.au/training-packages/info/</w:t>
      </w:r>
    </w:p>
    <w:p w:rsidR="00000000" w:rsidRPr="00625EDC" w:rsidP="00625EDC"/>
    <w:sectPr w:rsidSect="00625E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 w:rsidP="00625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098" w:rsidP="00625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12098" w:rsidP="00625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EDC" w:rsidRPr="00C12098" w:rsidP="00C120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98" w:rsidRPr="002D2AF8" w:rsidP="00625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PMBTECH505 Choose polymer materials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12098" w:rsidP="00625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EA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5AA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01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EDC"/>
  </w:style>
  <w:style w:type="character" w:customStyle="1" w:styleId="Heading1Char">
    <w:name w:val="Heading 1 Char"/>
    <w:basedOn w:val="DefaultParagraphFont"/>
    <w:link w:val="Heading1"/>
    <w:rsid w:val="00625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E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E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5E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5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EDC"/>
    <w:rPr>
      <w:b/>
      <w:spacing w:val="0"/>
    </w:rPr>
  </w:style>
  <w:style w:type="paragraph" w:customStyle="1" w:styleId="SuperTitle">
    <w:name w:val="SuperTitle"/>
    <w:basedOn w:val="Title"/>
    <w:rsid w:val="00625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5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EDC"/>
    <w:rPr>
      <w:i/>
    </w:rPr>
  </w:style>
  <w:style w:type="paragraph" w:styleId="Caption">
    <w:name w:val="caption"/>
    <w:basedOn w:val="BodyText"/>
    <w:next w:val="Normal"/>
    <w:qFormat/>
    <w:rsid w:val="00625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EDC"/>
  </w:style>
  <w:style w:type="paragraph" w:styleId="TableofFigures">
    <w:name w:val="table of figures"/>
    <w:basedOn w:val="Normal"/>
    <w:next w:val="Normal"/>
    <w:semiHidden/>
    <w:rsid w:val="00625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EDC"/>
    <w:pPr>
      <w:numPr>
        <w:numId w:val="11"/>
      </w:numPr>
    </w:pPr>
  </w:style>
  <w:style w:type="character" w:customStyle="1" w:styleId="WingdingSymbols">
    <w:name w:val="Wingding Symbols"/>
    <w:rsid w:val="00625EDC"/>
    <w:rPr>
      <w:rFonts w:ascii="Wingdings" w:hAnsi="Wingdings"/>
    </w:rPr>
  </w:style>
  <w:style w:type="paragraph" w:customStyle="1" w:styleId="TableHeading">
    <w:name w:val="Table Heading"/>
    <w:basedOn w:val="HeadingBase"/>
    <w:rsid w:val="00625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EDC"/>
    <w:rPr>
      <w:color w:val="0033CC"/>
      <w:u w:val="none"/>
    </w:rPr>
  </w:style>
  <w:style w:type="paragraph" w:customStyle="1" w:styleId="BodyTextRight">
    <w:name w:val="Body Text Right"/>
    <w:basedOn w:val="BodyText"/>
    <w:rsid w:val="00625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E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EDC"/>
    <w:rPr>
      <w:sz w:val="32"/>
    </w:rPr>
  </w:style>
  <w:style w:type="paragraph" w:customStyle="1" w:styleId="HeadingProcedure">
    <w:name w:val="Heading Procedure"/>
    <w:basedOn w:val="HeadingBase"/>
    <w:next w:val="Normal"/>
    <w:rsid w:val="00625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EDC"/>
    <w:pPr>
      <w:spacing w:before="60" w:after="60"/>
    </w:pPr>
  </w:style>
  <w:style w:type="paragraph" w:styleId="ListContinue">
    <w:name w:val="List Continue"/>
    <w:basedOn w:val="List"/>
    <w:rsid w:val="00625EDC"/>
    <w:pPr>
      <w:ind w:firstLine="0"/>
    </w:pPr>
  </w:style>
  <w:style w:type="paragraph" w:customStyle="1" w:styleId="ListNote">
    <w:name w:val="List Note"/>
    <w:basedOn w:val="List"/>
    <w:rsid w:val="00625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EDC"/>
    <w:rPr>
      <w:rFonts w:ascii="Courier New" w:hAnsi="Courier New"/>
    </w:rPr>
  </w:style>
  <w:style w:type="paragraph" w:customStyle="1" w:styleId="NoteBullet">
    <w:name w:val="Note Bullet"/>
    <w:basedOn w:val="Note"/>
    <w:rsid w:val="00625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E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5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EDC"/>
    <w:rPr>
      <w:b/>
      <w:smallCaps/>
    </w:rPr>
  </w:style>
  <w:style w:type="paragraph" w:customStyle="1" w:styleId="TableListNumber">
    <w:name w:val="Table List Number"/>
    <w:basedOn w:val="ListNumber"/>
    <w:rsid w:val="00625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EDC"/>
    <w:pPr>
      <w:numPr>
        <w:numId w:val="9"/>
      </w:numPr>
    </w:pPr>
  </w:style>
  <w:style w:type="paragraph" w:customStyle="1" w:styleId="ListAlpha2">
    <w:name w:val="List Alpha 2"/>
    <w:basedOn w:val="List2"/>
    <w:rsid w:val="00625EDC"/>
    <w:pPr>
      <w:numPr>
        <w:numId w:val="8"/>
      </w:numPr>
    </w:pPr>
  </w:style>
  <w:style w:type="paragraph" w:styleId="List2">
    <w:name w:val="List 2"/>
    <w:basedOn w:val="BodyText"/>
    <w:rsid w:val="00625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ED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E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5EDC"/>
    <w:pPr>
      <w:numPr>
        <w:numId w:val="4"/>
      </w:numPr>
    </w:pPr>
  </w:style>
  <w:style w:type="paragraph" w:styleId="ListContinue2">
    <w:name w:val="List Continue 2"/>
    <w:basedOn w:val="List2"/>
    <w:rsid w:val="00625EDC"/>
    <w:pPr>
      <w:ind w:firstLine="0"/>
    </w:pPr>
  </w:style>
  <w:style w:type="paragraph" w:styleId="ListContinue3">
    <w:name w:val="List Continue 3"/>
    <w:basedOn w:val="List3"/>
    <w:rsid w:val="00625EDC"/>
    <w:pPr>
      <w:ind w:left="1021" w:firstLine="0"/>
    </w:pPr>
  </w:style>
  <w:style w:type="paragraph" w:styleId="ListContinue4">
    <w:name w:val="List Continue 4"/>
    <w:basedOn w:val="List4"/>
    <w:rsid w:val="00625EDC"/>
    <w:pPr>
      <w:ind w:firstLine="0"/>
    </w:pPr>
  </w:style>
  <w:style w:type="paragraph" w:styleId="ListContinue5">
    <w:name w:val="List Continue 5"/>
    <w:basedOn w:val="List5"/>
    <w:rsid w:val="00625EDC"/>
    <w:pPr>
      <w:ind w:firstLine="0"/>
    </w:pPr>
  </w:style>
  <w:style w:type="paragraph" w:styleId="ListNumber3">
    <w:name w:val="List Number 3"/>
    <w:basedOn w:val="List3"/>
    <w:rsid w:val="00625EDC"/>
    <w:pPr>
      <w:numPr>
        <w:numId w:val="5"/>
      </w:numPr>
    </w:pPr>
  </w:style>
  <w:style w:type="paragraph" w:styleId="ListNumber4">
    <w:name w:val="List Number 4"/>
    <w:basedOn w:val="List4"/>
    <w:rsid w:val="00625EDC"/>
    <w:pPr>
      <w:numPr>
        <w:numId w:val="6"/>
      </w:numPr>
    </w:pPr>
  </w:style>
  <w:style w:type="paragraph" w:styleId="ListNumber5">
    <w:name w:val="List Number 5"/>
    <w:basedOn w:val="List5"/>
    <w:rsid w:val="00625EDC"/>
    <w:pPr>
      <w:numPr>
        <w:numId w:val="7"/>
      </w:numPr>
    </w:pPr>
  </w:style>
  <w:style w:type="paragraph" w:styleId="BlockText">
    <w:name w:val="Block Text"/>
    <w:basedOn w:val="Normal"/>
    <w:rsid w:val="00625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EDC"/>
    <w:rPr>
      <w:sz w:val="16"/>
      <w:vertAlign w:val="superscript"/>
    </w:rPr>
  </w:style>
  <w:style w:type="character" w:customStyle="1" w:styleId="Symbols">
    <w:name w:val="Symbols"/>
    <w:basedOn w:val="DefaultParagraphFont"/>
    <w:rsid w:val="00625EDC"/>
    <w:rPr>
      <w:rFonts w:ascii="Symbol" w:hAnsi="Symbol"/>
    </w:rPr>
  </w:style>
  <w:style w:type="character" w:customStyle="1" w:styleId="MenuOptions">
    <w:name w:val="Menu Options"/>
    <w:basedOn w:val="DefaultParagraphFont"/>
    <w:rsid w:val="00625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EDC"/>
    <w:rPr>
      <w:b/>
    </w:rPr>
  </w:style>
  <w:style w:type="character" w:customStyle="1" w:styleId="Underlined">
    <w:name w:val="Underlined"/>
    <w:basedOn w:val="DefaultParagraphFont"/>
    <w:rsid w:val="00625EDC"/>
    <w:rPr>
      <w:u w:val="single"/>
    </w:rPr>
  </w:style>
  <w:style w:type="paragraph" w:customStyle="1" w:styleId="TableBodyTextRight">
    <w:name w:val="Table Body Text Right"/>
    <w:basedOn w:val="TableBodyText"/>
    <w:rsid w:val="00625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EDC"/>
    <w:rPr>
      <w:sz w:val="18"/>
    </w:rPr>
  </w:style>
  <w:style w:type="paragraph" w:customStyle="1" w:styleId="BodySmallRight">
    <w:name w:val="Body Small Right"/>
    <w:basedOn w:val="BodyTextRight"/>
    <w:rsid w:val="00625EDC"/>
    <w:rPr>
      <w:sz w:val="18"/>
      <w:szCs w:val="18"/>
    </w:rPr>
  </w:style>
  <w:style w:type="paragraph" w:customStyle="1" w:styleId="MarginEdition">
    <w:name w:val="Margin Edition"/>
    <w:basedOn w:val="MarginNote"/>
    <w:rsid w:val="00625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EDC"/>
    <w:rPr>
      <w:sz w:val="2"/>
      <w:szCs w:val="2"/>
    </w:rPr>
  </w:style>
  <w:style w:type="character" w:customStyle="1" w:styleId="Small">
    <w:name w:val="Small"/>
    <w:basedOn w:val="DefaultParagraphFont"/>
    <w:rsid w:val="00625EDC"/>
    <w:rPr>
      <w:sz w:val="16"/>
    </w:rPr>
  </w:style>
  <w:style w:type="paragraph" w:customStyle="1" w:styleId="WideTable">
    <w:name w:val="Wide Table"/>
    <w:basedOn w:val="Normal"/>
    <w:rsid w:val="00625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EDC"/>
  </w:style>
  <w:style w:type="paragraph" w:styleId="Quote">
    <w:name w:val="Quote"/>
    <w:basedOn w:val="Heading1"/>
    <w:link w:val="QuoteChar"/>
    <w:qFormat/>
    <w:rsid w:val="00625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EDC"/>
    <w:pPr>
      <w:pageBreakBefore/>
    </w:pPr>
  </w:style>
  <w:style w:type="paragraph" w:customStyle="1" w:styleId="Border">
    <w:name w:val="Border"/>
    <w:basedOn w:val="Normal"/>
    <w:qFormat/>
    <w:rsid w:val="00625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EDC"/>
    <w:rPr>
      <w:u w:val="single"/>
    </w:rPr>
  </w:style>
  <w:style w:type="character" w:customStyle="1" w:styleId="BoldandItalics">
    <w:name w:val="Bold and Italics"/>
    <w:qFormat/>
    <w:rsid w:val="00625EDC"/>
    <w:rPr>
      <w:b/>
      <w:i/>
      <w:u w:val="none"/>
    </w:rPr>
  </w:style>
  <w:style w:type="paragraph" w:styleId="BalloonText">
    <w:name w:val="Balloon Text"/>
    <w:basedOn w:val="Normal"/>
    <w:link w:val="BalloonTextChar"/>
    <w:rsid w:val="00625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E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E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5298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PMBTECH505 Choose polymer materials for an application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2016-06-22T08:07:00Z</dcterms:created>
  <dcterms:modified xsi:type="dcterms:W3CDTF">2016-06-22T08:07:00Z</dcterms:modified>
</cp:coreProperties>
</file>