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EB0" w:rsidP="002F2E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PMBTECH504 Determine heat transfer loads for processing equipment</w:t>
      </w:r>
      <w:r>
        <w:fldChar w:fldCharType="end"/>
      </w:r>
    </w:p>
    <w:p w:rsidR="002F2EB0" w:rsidP="002F2EB0">
      <w:pPr>
        <w:pStyle w:val="Version"/>
        <w:sectPr w:rsidSect="00F030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0F6" w:rsidP="00F030F6">
      <w:pPr>
        <w:pStyle w:val="SuperHeading"/>
      </w:pPr>
      <w:r w:rsidRPr="00F030F6">
        <w:t>PMBTECH504 Determine heat transfer loads for processing equipment</w:t>
      </w:r>
    </w:p>
    <w:p w:rsidR="00000000" w:rsidRPr="00F030F6" w:rsidP="00F030F6">
      <w:pPr>
        <w:pStyle w:val="Heading1"/>
      </w:pPr>
      <w:bookmarkStart w:id="1" w:name="O_927557"/>
      <w:bookmarkEnd w:id="1"/>
      <w:r w:rsidRPr="00F030F6">
        <w:t>Modification History</w:t>
      </w:r>
    </w:p>
    <w:p w:rsidR="00000000" w:rsidRPr="00F030F6" w:rsidP="00F030F6">
      <w:pPr>
        <w:pStyle w:val="BodyText"/>
      </w:pPr>
      <w:r w:rsidRPr="00F030F6">
        <w:t xml:space="preserve">Release 1. Supersedes and is equivalent to PMBTECH504B Determine heat transfer loads for processing equipment   </w:t>
      </w:r>
    </w:p>
    <w:p w:rsidR="00000000" w:rsidRPr="00F030F6" w:rsidP="00F030F6">
      <w:pPr>
        <w:pStyle w:val="AllowPageBreak"/>
      </w:pPr>
    </w:p>
    <w:p w:rsidR="00000000" w:rsidRPr="00F030F6" w:rsidP="00F030F6">
      <w:pPr>
        <w:pStyle w:val="Heading1"/>
      </w:pPr>
      <w:bookmarkStart w:id="2" w:name="O_927565"/>
      <w:bookmarkEnd w:id="2"/>
      <w:r w:rsidRPr="00F030F6">
        <w:t>Application</w:t>
      </w:r>
    </w:p>
    <w:p w:rsidR="00000000" w:rsidRPr="00F030F6" w:rsidP="00F030F6">
      <w:pPr>
        <w:pStyle w:val="BodyText"/>
      </w:pPr>
      <w:r w:rsidRPr="00F030F6">
        <w:t>This unit of competency covers the skills and knowledge required to determine heat transfer loads for processing equipment.</w:t>
      </w:r>
    </w:p>
    <w:p w:rsidR="00000000" w:rsidRPr="00F030F6" w:rsidP="00F030F6">
      <w:pPr>
        <w:pStyle w:val="BodyText"/>
      </w:pPr>
    </w:p>
    <w:p w:rsidR="00000000" w:rsidRPr="00F030F6" w:rsidP="00F030F6">
      <w:pPr>
        <w:pStyle w:val="BodyText"/>
      </w:pPr>
      <w:r w:rsidRPr="00F030F6">
        <w:t xml:space="preserve">This competency applies to senior technicians or similar roles who are required to apply in-depth knowledge of materials, process, </w:t>
      </w:r>
      <w:r w:rsidRPr="00F030F6">
        <w:t>equipment and problem solving in order to calculate heating/cooling loads of processing equipment/components, select appropriate heating and/or cooling mechanism for an application and determine heating requirements for process conditions.</w:t>
      </w:r>
    </w:p>
    <w:p w:rsidR="00000000" w:rsidRPr="00F030F6" w:rsidP="00F030F6">
      <w:pPr>
        <w:pStyle w:val="BodyText"/>
      </w:pPr>
    </w:p>
    <w:p w:rsidR="00000000" w:rsidRPr="00F030F6" w:rsidP="00F030F6">
      <w:pPr>
        <w:pStyle w:val="BodyText"/>
      </w:pPr>
      <w:r w:rsidRPr="00F030F6">
        <w:t>No licensing, l</w:t>
      </w:r>
      <w:r w:rsidRPr="00F030F6">
        <w:t>egislative or certification requirements apply to this unit at the time of publication.</w:t>
      </w:r>
    </w:p>
    <w:p w:rsidR="00000000" w:rsidRPr="00F030F6" w:rsidP="00F030F6">
      <w:pPr>
        <w:pStyle w:val="AllowPageBreak"/>
      </w:pPr>
    </w:p>
    <w:p w:rsidR="00000000" w:rsidRPr="00F030F6" w:rsidP="00F030F6">
      <w:pPr>
        <w:pStyle w:val="Heading1"/>
      </w:pPr>
      <w:bookmarkStart w:id="3" w:name="O_927564"/>
      <w:bookmarkEnd w:id="3"/>
      <w:r w:rsidRPr="00F030F6">
        <w:t>Pre-requisite Unit</w:t>
      </w:r>
    </w:p>
    <w:p w:rsidR="00000000" w:rsidRPr="00F030F6" w:rsidP="00F030F6">
      <w:pPr>
        <w:pStyle w:val="BodyText"/>
      </w:pPr>
      <w:r w:rsidRPr="00F030F6">
        <w:t>Nil</w:t>
      </w:r>
    </w:p>
    <w:p w:rsidR="00000000" w:rsidRPr="00F030F6" w:rsidP="00F030F6">
      <w:pPr>
        <w:pStyle w:val="AllowPageBreak"/>
      </w:pPr>
    </w:p>
    <w:p w:rsidR="00000000" w:rsidRPr="00F030F6" w:rsidP="00F030F6">
      <w:pPr>
        <w:pStyle w:val="Heading1"/>
      </w:pPr>
      <w:bookmarkStart w:id="4" w:name="O_927563"/>
      <w:bookmarkEnd w:id="4"/>
      <w:r w:rsidRPr="00F030F6">
        <w:t>Competency Field</w:t>
      </w:r>
    </w:p>
    <w:p w:rsidR="00000000" w:rsidRPr="00F030F6" w:rsidP="00F030F6">
      <w:pPr>
        <w:pStyle w:val="BodyText"/>
      </w:pPr>
      <w:r w:rsidRPr="00F030F6">
        <w:t>Technical</w:t>
      </w:r>
    </w:p>
    <w:p w:rsidR="00000000" w:rsidRPr="00F030F6" w:rsidP="00F030F6">
      <w:pPr>
        <w:pStyle w:val="AllowPageBreak"/>
      </w:pPr>
    </w:p>
    <w:p w:rsidR="00000000" w:rsidRPr="00F030F6" w:rsidP="00F030F6">
      <w:pPr>
        <w:pStyle w:val="Heading1"/>
      </w:pPr>
      <w:bookmarkStart w:id="5" w:name="O_927562"/>
      <w:bookmarkEnd w:id="5"/>
      <w:r w:rsidRPr="00F030F6">
        <w:t>Unit Sector</w:t>
      </w:r>
    </w:p>
    <w:p w:rsidR="00000000" w:rsidRPr="00F030F6" w:rsidP="00F030F6">
      <w:pPr>
        <w:pStyle w:val="BodyText"/>
      </w:pPr>
      <w:r w:rsidRPr="00F030F6">
        <w:t>Not applicable</w:t>
      </w:r>
    </w:p>
    <w:p w:rsidR="00000000" w:rsidRPr="00F030F6" w:rsidP="00F030F6">
      <w:pPr>
        <w:pStyle w:val="AllowPageBreak"/>
      </w:pPr>
    </w:p>
    <w:p w:rsidR="00000000" w:rsidRPr="00F030F6" w:rsidP="00F030F6">
      <w:pPr>
        <w:pStyle w:val="Heading1"/>
      </w:pPr>
      <w:bookmarkStart w:id="6" w:name="O_927561"/>
      <w:bookmarkEnd w:id="6"/>
      <w:r w:rsidRPr="00F030F6">
        <w:t>Elements and Performanc</w:t>
      </w:r>
      <w:r w:rsidRPr="00F030F6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03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Performance criteria describe the performance needed to demonstrate achievement of the element.</w:t>
            </w:r>
          </w:p>
        </w:tc>
      </w:tr>
      <w:tr w:rsidTr="00F03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0F6" w:rsidP="00F030F6">
            <w:pPr>
              <w:pStyle w:val="BodyText"/>
            </w:pPr>
            <w:r w:rsidRPr="00F030F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rPr>
                <w:rStyle w:val="SpecialBold"/>
              </w:rPr>
              <w:t xml:space="preserve">Calculate heat transferred </w:t>
            </w:r>
            <w:r w:rsidRPr="00F030F6">
              <w:rPr>
                <w:rStyle w:val="SpecialBold"/>
              </w:rPr>
              <w:t>from/to items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Calculate conductive heat transfer to/from an object</w:t>
            </w:r>
          </w:p>
        </w:tc>
      </w:tr>
      <w:tr w:rsidTr="00F03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Calculate convective heat transfer to/from an object</w:t>
            </w:r>
          </w:p>
        </w:tc>
      </w:tr>
      <w:tr w:rsidTr="00F03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Calculate radiative heat transfer to/from an object</w:t>
            </w:r>
          </w:p>
        </w:tc>
      </w:tr>
      <w:tr w:rsidTr="00F03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Calculate combined heat transfer to/from an object, including resistances in series and parallel</w:t>
            </w:r>
          </w:p>
        </w:tc>
      </w:tr>
      <w:tr w:rsidTr="00F03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</w:p>
        </w:tc>
      </w:tr>
      <w:tr w:rsidTr="00F03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0F6" w:rsidP="00F030F6">
            <w:pPr>
              <w:pStyle w:val="BodyText"/>
            </w:pPr>
            <w:r w:rsidRPr="00F030F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rPr>
                <w:rStyle w:val="SpecialBold"/>
              </w:rPr>
              <w:t>Calculate temperature change caused by a change in heat content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Calculate temperature change caused by heating/cooling of polymer compounds in typical examples of processing equipment</w:t>
            </w:r>
          </w:p>
        </w:tc>
      </w:tr>
      <w:tr w:rsidTr="00F03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Calculate change in heat content caused by shear on a polymer</w:t>
            </w:r>
            <w:r w:rsidRPr="00F030F6">
              <w:t xml:space="preserve"> compound</w:t>
            </w:r>
          </w:p>
        </w:tc>
      </w:tr>
      <w:tr w:rsidTr="00F03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Calculate temperature rise caused by shear on a polymer.</w:t>
            </w:r>
          </w:p>
        </w:tc>
      </w:tr>
      <w:tr w:rsidTr="00F03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</w:p>
        </w:tc>
      </w:tr>
      <w:tr w:rsidTr="00F03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0F6" w:rsidP="00F030F6">
            <w:pPr>
              <w:pStyle w:val="BodyText"/>
            </w:pPr>
            <w:r w:rsidRPr="00F030F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rPr>
                <w:rStyle w:val="SpecialBold"/>
              </w:rPr>
              <w:t>Select appropriate heating and/or cooling mechanism for an application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Compare rates of heat transfer/overall heat transfer coefficients for major methods of heating and cooling</w:t>
            </w:r>
          </w:p>
        </w:tc>
      </w:tr>
      <w:tr w:rsidTr="00F03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Determine appropriate methods of varying/controlling rates of heat transfer</w:t>
            </w:r>
          </w:p>
        </w:tc>
      </w:tr>
      <w:tr w:rsidTr="00F03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Calculate heat transfer rates under a range of conditions</w:t>
            </w:r>
          </w:p>
        </w:tc>
      </w:tr>
      <w:tr w:rsidTr="00F03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</w:p>
        </w:tc>
      </w:tr>
      <w:tr w:rsidTr="00F03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0F6" w:rsidP="00F030F6">
            <w:pPr>
              <w:pStyle w:val="BodyText"/>
            </w:pPr>
            <w:r w:rsidRPr="00F030F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rPr>
                <w:rStyle w:val="SpecialBold"/>
              </w:rPr>
              <w:t>Determine heating required to suit process conditions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Determine heating requirements to obtain correct viscosity for processing</w:t>
            </w:r>
          </w:p>
        </w:tc>
      </w:tr>
      <w:tr w:rsidTr="00F03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Select appropriate heat transfer mechanism(s) to achieve desired conditions</w:t>
            </w:r>
          </w:p>
        </w:tc>
      </w:tr>
      <w:tr w:rsidTr="00F03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</w:p>
        </w:tc>
      </w:tr>
      <w:tr w:rsidTr="00F03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0F6" w:rsidP="00F030F6">
            <w:pPr>
              <w:pStyle w:val="BodyText"/>
            </w:pPr>
            <w:r w:rsidRPr="00F030F6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rPr>
                <w:rStyle w:val="SpecialBold"/>
              </w:rPr>
              <w:t>Conduct energy ba</w:t>
            </w:r>
            <w:r w:rsidRPr="00F030F6">
              <w:rPr>
                <w:rStyle w:val="SpecialBold"/>
              </w:rPr>
              <w:t>lance over process 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Determine overall heating load for process components</w:t>
            </w:r>
          </w:p>
        </w:tc>
      </w:tr>
      <w:tr w:rsidTr="00F03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Determine overall cooling load for process components</w:t>
            </w:r>
          </w:p>
        </w:tc>
      </w:tr>
      <w:tr w:rsidTr="00F03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0F6" w:rsidP="00F030F6">
            <w:pPr>
              <w:pStyle w:val="BodyText"/>
            </w:pPr>
            <w:r w:rsidRPr="00F030F6">
              <w:t>Determine the adequacy (or otherwise) of the process/plant heating/cooling system to cope with this</w:t>
            </w:r>
          </w:p>
        </w:tc>
      </w:tr>
    </w:tbl>
    <w:p w:rsidR="00000000" w:rsidRPr="00F030F6" w:rsidP="00F030F6">
      <w:pPr>
        <w:pStyle w:val="BodyText"/>
      </w:pPr>
    </w:p>
    <w:p w:rsidR="00000000" w:rsidRPr="00F030F6" w:rsidP="00F030F6">
      <w:pPr>
        <w:pStyle w:val="AllowPageBreak"/>
      </w:pPr>
    </w:p>
    <w:p w:rsidR="00000000" w:rsidRPr="00F030F6" w:rsidP="00F030F6">
      <w:pPr>
        <w:pStyle w:val="Heading1"/>
      </w:pPr>
      <w:bookmarkStart w:id="7" w:name="O_927560"/>
      <w:bookmarkEnd w:id="7"/>
      <w:r w:rsidRPr="00F030F6">
        <w:t>Foundation Skills</w:t>
      </w:r>
    </w:p>
    <w:p w:rsidR="00000000" w:rsidRPr="00F030F6" w:rsidP="00F030F6">
      <w:pPr>
        <w:pStyle w:val="BodyText"/>
      </w:pPr>
      <w:r w:rsidRPr="00F030F6">
        <w:t>This section describes those required skills (language, literacy and numeracy) that are essential to performance.</w:t>
      </w:r>
    </w:p>
    <w:p w:rsidR="00000000" w:rsidRPr="00F030F6" w:rsidP="00F030F6">
      <w:pPr>
        <w:pStyle w:val="BodyText"/>
      </w:pPr>
    </w:p>
    <w:p w:rsidR="00000000" w:rsidRPr="00F030F6" w:rsidP="00F030F6">
      <w:pPr>
        <w:pStyle w:val="BodyText"/>
      </w:pPr>
      <w:r w:rsidRPr="00F030F6">
        <w:t>Foundation skills essential to performance are explicit in the performance criteria of this unit of comp</w:t>
      </w:r>
      <w:r w:rsidRPr="00F030F6">
        <w:t>etency.</w:t>
      </w:r>
    </w:p>
    <w:p w:rsidR="00000000" w:rsidRPr="00F030F6" w:rsidP="00F030F6">
      <w:pPr>
        <w:pStyle w:val="AllowPageBreak"/>
      </w:pPr>
    </w:p>
    <w:p w:rsidR="00000000" w:rsidRPr="00F030F6" w:rsidP="00F030F6">
      <w:pPr>
        <w:pStyle w:val="Heading1"/>
      </w:pPr>
      <w:bookmarkStart w:id="8" w:name="O_927559"/>
      <w:bookmarkEnd w:id="8"/>
      <w:r w:rsidRPr="00F030F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F2E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t>This field allows for different work environments and conditions that may affect performance. Essential operating conditions that may be present (depending on the work situation, needs of the candidate, accessib</w:t>
            </w:r>
            <w:r w:rsidRPr="00F030F6">
              <w:t>ility of the item, and local industry and regional contexts) are included.</w:t>
            </w:r>
          </w:p>
        </w:tc>
      </w:tr>
      <w:tr w:rsidTr="002F2E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0F6" w:rsidP="00F030F6">
            <w:pPr>
              <w:pStyle w:val="BodyText"/>
            </w:pPr>
            <w:r w:rsidRPr="00F030F6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0F6" w:rsidP="00F030F6">
            <w:pPr>
              <w:pStyle w:val="BodyText"/>
            </w:pPr>
            <w:r w:rsidRPr="00F030F6">
              <w:t xml:space="preserve">The latest version of all legislation, regulations, industry codes of practice and Australian/international standards, or the version specified </w:t>
            </w:r>
            <w:r w:rsidRPr="00F030F6">
              <w:t>by the local regulatory authority, must be used.</w:t>
            </w:r>
          </w:p>
          <w:p w:rsidR="00000000" w:rsidRPr="00F030F6" w:rsidP="00F030F6">
            <w:pPr>
              <w:pStyle w:val="BodyText"/>
            </w:pPr>
          </w:p>
          <w:p w:rsidR="00000000" w:rsidRPr="00F030F6" w:rsidP="00F030F6">
            <w:pPr>
              <w:pStyle w:val="BodyText"/>
            </w:pPr>
            <w:r w:rsidRPr="00F030F6">
              <w:t>Applicable legislation, regulations, standards and codes of practice include:</w:t>
            </w:r>
          </w:p>
          <w:p w:rsidR="00000000" w:rsidRPr="00F030F6" w:rsidP="00F030F6">
            <w:pPr>
              <w:pStyle w:val="ListBullet"/>
            </w:pPr>
            <w:r w:rsidRPr="00F030F6">
              <w:t xml:space="preserve">health, safety and environmental (HSE) legislation, regulations and codes of practice relevant to the workplace, materials and </w:t>
            </w:r>
            <w:r w:rsidRPr="00F030F6">
              <w:t xml:space="preserve">processes being used and products being made </w:t>
            </w:r>
          </w:p>
          <w:p w:rsidR="00000000" w:rsidRPr="00F030F6" w:rsidP="00F030F6">
            <w:pPr>
              <w:pStyle w:val="ListBullet"/>
            </w:pPr>
            <w:r w:rsidRPr="00F030F6">
              <w:t xml:space="preserve">Australian/international standards relevant to the materials being used and products being made </w:t>
            </w:r>
          </w:p>
          <w:p w:rsidR="00000000" w:rsidRPr="00F030F6" w:rsidP="00F030F6">
            <w:pPr>
              <w:pStyle w:val="ListBullet"/>
            </w:pPr>
            <w:r w:rsidRPr="00F030F6">
              <w:t>any relevant licence and certification requirements.</w:t>
            </w:r>
          </w:p>
          <w:p w:rsidR="00000000" w:rsidRPr="00F030F6" w:rsidP="00F030F6">
            <w:pPr>
              <w:pStyle w:val="BodyText"/>
            </w:pPr>
          </w:p>
          <w:p w:rsidR="00000000" w:rsidRPr="00F030F6" w:rsidP="00F030F6">
            <w:pPr>
              <w:pStyle w:val="BodyText"/>
            </w:pPr>
            <w:r w:rsidRPr="00F030F6">
              <w:t>All operations to which this unit applies are subject to st</w:t>
            </w:r>
            <w:r w:rsidRPr="00F030F6">
              <w:t>ringent HSE requirements, which may be imposed through state/territory or federal legislation, and these must not be compromised at any time. Where there is an apparent conflict between performance criteria and such requirements the legislative requirement</w:t>
            </w:r>
            <w:r w:rsidRPr="00F030F6">
              <w:t>s take precedence.</w:t>
            </w:r>
          </w:p>
          <w:p w:rsidR="00000000" w:rsidP="00F030F6">
            <w:pPr>
              <w:pStyle w:val="BodyText"/>
              <w:rPr>
                <w:lang w:val="en-NZ"/>
              </w:rPr>
            </w:pPr>
          </w:p>
        </w:tc>
      </w:tr>
      <w:tr w:rsidTr="002F2E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0F6">
            <w:pPr>
              <w:pStyle w:val="BodyText"/>
              <w:rPr>
                <w:lang w:val="en-NZ"/>
              </w:rPr>
            </w:pPr>
            <w:r w:rsidRPr="00F030F6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0F6" w:rsidP="00F030F6">
            <w:pPr>
              <w:pStyle w:val="BodyText"/>
            </w:pPr>
            <w:r w:rsidRPr="00F030F6">
              <w:t>All operations must be performed in accordance with relevant procedures.</w:t>
            </w:r>
          </w:p>
          <w:p w:rsidR="00000000" w:rsidRPr="00F030F6" w:rsidP="00F030F6">
            <w:pPr>
              <w:pStyle w:val="BodyText"/>
            </w:pPr>
          </w:p>
          <w:p w:rsidR="00000000" w:rsidRPr="00F030F6" w:rsidP="00F030F6">
            <w:pPr>
              <w:pStyle w:val="BodyText"/>
            </w:pPr>
            <w:r w:rsidRPr="00F030F6">
              <w:t>Procedures may be written, verbal, visual, computer-based or in some other form. They include one or any combination of:</w:t>
            </w:r>
          </w:p>
          <w:p w:rsidR="00000000" w:rsidRPr="00F030F6" w:rsidP="00F030F6">
            <w:pPr>
              <w:pStyle w:val="ListBullet"/>
            </w:pPr>
            <w:r w:rsidRPr="00F030F6">
              <w:t>test procedures</w:t>
            </w:r>
          </w:p>
          <w:p w:rsidR="00000000" w:rsidRPr="00F030F6" w:rsidP="00F030F6">
            <w:pPr>
              <w:pStyle w:val="ListBullet"/>
            </w:pPr>
            <w:r w:rsidRPr="00F030F6">
              <w:t>technical specifications</w:t>
            </w:r>
          </w:p>
          <w:p w:rsidR="00000000" w:rsidRPr="00F030F6" w:rsidP="00F030F6">
            <w:pPr>
              <w:pStyle w:val="ListBullet"/>
            </w:pPr>
            <w:r w:rsidRPr="00F030F6">
              <w:t>technical drawings</w:t>
            </w:r>
          </w:p>
          <w:p w:rsidR="00000000" w:rsidRPr="00F030F6" w:rsidP="00F030F6">
            <w:pPr>
              <w:pStyle w:val="ListBullet"/>
            </w:pPr>
            <w:r w:rsidRPr="00F030F6">
              <w:t>emergency procedures</w:t>
            </w:r>
          </w:p>
          <w:p w:rsidR="00000000" w:rsidRPr="00F030F6" w:rsidP="00F030F6">
            <w:pPr>
              <w:pStyle w:val="ListBullet"/>
            </w:pPr>
            <w:r w:rsidRPr="00F030F6">
              <w:t>work instructions</w:t>
            </w:r>
          </w:p>
          <w:p w:rsidR="00000000" w:rsidRPr="00F030F6" w:rsidP="00F030F6">
            <w:pPr>
              <w:pStyle w:val="ListBullet"/>
            </w:pPr>
            <w:r w:rsidRPr="00F030F6">
              <w:t>standard operating procedures (SOPs)</w:t>
            </w:r>
          </w:p>
          <w:p w:rsidR="00000000" w:rsidRPr="00F030F6" w:rsidP="00F030F6">
            <w:pPr>
              <w:pStyle w:val="ListBullet"/>
            </w:pPr>
            <w:r w:rsidRPr="00F030F6">
              <w:t>safe work method statements (SWMS)</w:t>
            </w:r>
          </w:p>
          <w:p w:rsidR="00000000" w:rsidRPr="00F030F6" w:rsidP="00F030F6">
            <w:pPr>
              <w:pStyle w:val="ListBullet"/>
            </w:pPr>
            <w:r w:rsidRPr="00F030F6">
              <w:t>formulas/recipes</w:t>
            </w:r>
          </w:p>
          <w:p w:rsidR="00000000" w:rsidRPr="00F030F6" w:rsidP="00F030F6">
            <w:pPr>
              <w:pStyle w:val="ListBullet"/>
            </w:pPr>
            <w:r w:rsidRPr="00F030F6">
              <w:t>batch sheets</w:t>
            </w:r>
          </w:p>
          <w:p w:rsidR="00000000" w:rsidRPr="00F030F6" w:rsidP="00F030F6">
            <w:pPr>
              <w:pStyle w:val="ListBullet"/>
            </w:pPr>
            <w:r w:rsidRPr="00F030F6">
              <w:t>temporary instructions</w:t>
            </w:r>
          </w:p>
          <w:p w:rsidR="00000000" w:rsidRPr="00F030F6" w:rsidP="00F030F6">
            <w:pPr>
              <w:pStyle w:val="ListBullet"/>
            </w:pPr>
            <w:r w:rsidRPr="00F030F6">
              <w:t>any similar instructions provided for the smooth</w:t>
            </w:r>
            <w:r w:rsidRPr="00F030F6">
              <w:t xml:space="preserve"> running of the plant.</w:t>
            </w:r>
          </w:p>
        </w:tc>
      </w:tr>
    </w:tbl>
    <w:p w:rsidR="00000000" w:rsidRPr="00F030F6" w:rsidP="00F030F6">
      <w:pPr>
        <w:pStyle w:val="BodyText"/>
      </w:pPr>
    </w:p>
    <w:p w:rsidR="00000000" w:rsidRPr="00F030F6" w:rsidP="00F030F6">
      <w:pPr>
        <w:pStyle w:val="AllowPageBreak"/>
      </w:pPr>
    </w:p>
    <w:p w:rsidR="00000000" w:rsidRPr="00F030F6" w:rsidP="00F030F6">
      <w:pPr>
        <w:pStyle w:val="Heading1"/>
      </w:pPr>
      <w:bookmarkStart w:id="9" w:name="O_927558"/>
      <w:bookmarkEnd w:id="9"/>
      <w:r w:rsidRPr="00F030F6">
        <w:t>Unit Mapping Information</w:t>
      </w:r>
    </w:p>
    <w:p w:rsidR="00000000" w:rsidRPr="00F030F6" w:rsidP="00F030F6">
      <w:pPr>
        <w:pStyle w:val="BodyText"/>
      </w:pPr>
      <w:r w:rsidRPr="00F030F6">
        <w:t xml:space="preserve">Release 1. Supersedes and is equivalent to PMBTECH504B Determine heat transfer loads for processing equipment   </w:t>
      </w:r>
    </w:p>
    <w:p w:rsidR="00000000" w:rsidRPr="00F030F6" w:rsidP="00F030F6">
      <w:pPr>
        <w:pStyle w:val="AllowPageBreak"/>
      </w:pPr>
    </w:p>
    <w:p w:rsidR="00000000" w:rsidRPr="00F030F6" w:rsidP="00F030F6">
      <w:pPr>
        <w:pStyle w:val="Heading1"/>
      </w:pPr>
      <w:bookmarkStart w:id="10" w:name="O_927551"/>
      <w:bookmarkEnd w:id="10"/>
      <w:r w:rsidRPr="00F030F6">
        <w:t>Links</w:t>
      </w:r>
    </w:p>
    <w:p w:rsidR="00000000" w:rsidRPr="00F030F6" w:rsidP="00F030F6">
      <w:pPr>
        <w:pStyle w:val="BodyText"/>
      </w:pPr>
      <w:r w:rsidRPr="00F030F6">
        <w:t>MSA Training Package Implementation Guides - http://mskills.org.au/training-packages/info/</w:t>
      </w:r>
    </w:p>
    <w:p w:rsidR="00000000" w:rsidRPr="00F030F6" w:rsidP="00F030F6"/>
    <w:sectPr w:rsidSect="00F030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0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0F6" w:rsidRPr="002F2EB0" w:rsidP="002F2E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0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EB0" w:rsidP="00F030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2EB0" w:rsidP="00F030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F2EB0" w:rsidP="00F030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0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0F6" w:rsidRPr="002F2EB0" w:rsidP="002F2EB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0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EB0" w:rsidRPr="002D2AF8" w:rsidP="00F030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PMBTECH504 Determine heat transfer loads for processing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2F2EB0" w:rsidP="00F030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ACC6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9213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0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0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0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0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0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0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0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0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0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0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0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0F6"/>
  </w:style>
  <w:style w:type="character" w:customStyle="1" w:styleId="Heading1Char">
    <w:name w:val="Heading 1 Char"/>
    <w:basedOn w:val="DefaultParagraphFont"/>
    <w:link w:val="Heading1"/>
    <w:rsid w:val="00F030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0F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0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0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30F6"/>
    <w:rPr>
      <w:b/>
      <w:spacing w:val="0"/>
    </w:rPr>
  </w:style>
  <w:style w:type="paragraph" w:customStyle="1" w:styleId="SuperHeading">
    <w:name w:val="SuperHeading"/>
    <w:basedOn w:val="Normal"/>
    <w:rsid w:val="00F030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0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30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0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0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0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0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0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0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0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0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0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0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0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0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0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0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0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0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0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0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0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0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0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0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30F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30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0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0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0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0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0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0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0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0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30F6"/>
    <w:rPr>
      <w:i/>
    </w:rPr>
  </w:style>
  <w:style w:type="paragraph" w:styleId="Caption">
    <w:name w:val="caption"/>
    <w:basedOn w:val="BodyText"/>
    <w:next w:val="Normal"/>
    <w:qFormat/>
    <w:rsid w:val="00F030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0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0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0F6"/>
  </w:style>
  <w:style w:type="paragraph" w:styleId="TableofFigures">
    <w:name w:val="table of figures"/>
    <w:basedOn w:val="Normal"/>
    <w:next w:val="Normal"/>
    <w:semiHidden/>
    <w:rsid w:val="00F030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0F6"/>
    <w:pPr>
      <w:numPr>
        <w:numId w:val="10"/>
      </w:numPr>
    </w:pPr>
  </w:style>
  <w:style w:type="character" w:customStyle="1" w:styleId="WingdingSymbols">
    <w:name w:val="Wingding Symbols"/>
    <w:rsid w:val="00F030F6"/>
    <w:rPr>
      <w:rFonts w:ascii="Wingdings" w:hAnsi="Wingdings"/>
    </w:rPr>
  </w:style>
  <w:style w:type="paragraph" w:customStyle="1" w:styleId="TableHeading">
    <w:name w:val="Table Heading"/>
    <w:basedOn w:val="HeadingBase"/>
    <w:rsid w:val="00F030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0F6"/>
    <w:rPr>
      <w:color w:val="0033CC"/>
      <w:u w:val="none"/>
    </w:rPr>
  </w:style>
  <w:style w:type="paragraph" w:customStyle="1" w:styleId="BodyTextRight">
    <w:name w:val="Body Text Right"/>
    <w:basedOn w:val="BodyText"/>
    <w:rsid w:val="00F030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0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0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0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0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0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0F6"/>
    <w:rPr>
      <w:sz w:val="32"/>
    </w:rPr>
  </w:style>
  <w:style w:type="paragraph" w:customStyle="1" w:styleId="HeadingProcedure">
    <w:name w:val="Heading Procedure"/>
    <w:basedOn w:val="HeadingBase"/>
    <w:next w:val="Normal"/>
    <w:rsid w:val="00F030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0F6"/>
    <w:pPr>
      <w:spacing w:before="60" w:after="60"/>
    </w:pPr>
  </w:style>
  <w:style w:type="paragraph" w:styleId="ListContinue">
    <w:name w:val="List Continue"/>
    <w:basedOn w:val="List"/>
    <w:rsid w:val="00F030F6"/>
    <w:pPr>
      <w:ind w:firstLine="0"/>
    </w:pPr>
  </w:style>
  <w:style w:type="paragraph" w:customStyle="1" w:styleId="ListNote">
    <w:name w:val="List Note"/>
    <w:basedOn w:val="List"/>
    <w:rsid w:val="00F030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0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0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0F6"/>
    <w:rPr>
      <w:rFonts w:ascii="Courier New" w:hAnsi="Courier New"/>
    </w:rPr>
  </w:style>
  <w:style w:type="paragraph" w:customStyle="1" w:styleId="NoteBullet">
    <w:name w:val="Note Bullet"/>
    <w:basedOn w:val="Note"/>
    <w:rsid w:val="00F030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0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0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0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0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30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0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0F6"/>
    <w:rPr>
      <w:b/>
      <w:smallCaps/>
    </w:rPr>
  </w:style>
  <w:style w:type="paragraph" w:customStyle="1" w:styleId="TableListNumber">
    <w:name w:val="Table List Number"/>
    <w:basedOn w:val="ListNumber"/>
    <w:rsid w:val="00F030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0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0F6"/>
    <w:pPr>
      <w:numPr>
        <w:numId w:val="8"/>
      </w:numPr>
    </w:pPr>
  </w:style>
  <w:style w:type="paragraph" w:customStyle="1" w:styleId="ListAlpha2">
    <w:name w:val="List Alpha 2"/>
    <w:basedOn w:val="List2"/>
    <w:rsid w:val="00F030F6"/>
    <w:pPr>
      <w:numPr>
        <w:numId w:val="7"/>
      </w:numPr>
    </w:pPr>
  </w:style>
  <w:style w:type="paragraph" w:styleId="List2">
    <w:name w:val="List 2"/>
    <w:basedOn w:val="BodyText"/>
    <w:rsid w:val="00F030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0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0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0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0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0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30F6"/>
    <w:pPr>
      <w:numPr>
        <w:numId w:val="3"/>
      </w:numPr>
    </w:pPr>
  </w:style>
  <w:style w:type="paragraph" w:styleId="ListContinue2">
    <w:name w:val="List Continue 2"/>
    <w:basedOn w:val="List2"/>
    <w:rsid w:val="00F030F6"/>
    <w:pPr>
      <w:ind w:firstLine="0"/>
    </w:pPr>
  </w:style>
  <w:style w:type="paragraph" w:styleId="ListContinue3">
    <w:name w:val="List Continue 3"/>
    <w:basedOn w:val="List3"/>
    <w:rsid w:val="00F030F6"/>
    <w:pPr>
      <w:ind w:left="1021" w:firstLine="0"/>
    </w:pPr>
  </w:style>
  <w:style w:type="paragraph" w:styleId="ListContinue4">
    <w:name w:val="List Continue 4"/>
    <w:basedOn w:val="List4"/>
    <w:rsid w:val="00F030F6"/>
    <w:pPr>
      <w:ind w:firstLine="0"/>
    </w:pPr>
  </w:style>
  <w:style w:type="paragraph" w:styleId="ListContinue5">
    <w:name w:val="List Continue 5"/>
    <w:basedOn w:val="List5"/>
    <w:rsid w:val="00F030F6"/>
    <w:pPr>
      <w:ind w:firstLine="0"/>
    </w:pPr>
  </w:style>
  <w:style w:type="paragraph" w:styleId="ListNumber3">
    <w:name w:val="List Number 3"/>
    <w:basedOn w:val="List3"/>
    <w:rsid w:val="00F030F6"/>
    <w:pPr>
      <w:numPr>
        <w:numId w:val="4"/>
      </w:numPr>
    </w:pPr>
  </w:style>
  <w:style w:type="paragraph" w:styleId="ListNumber4">
    <w:name w:val="List Number 4"/>
    <w:basedOn w:val="List4"/>
    <w:rsid w:val="00F030F6"/>
    <w:pPr>
      <w:numPr>
        <w:numId w:val="5"/>
      </w:numPr>
    </w:pPr>
  </w:style>
  <w:style w:type="paragraph" w:styleId="ListNumber5">
    <w:name w:val="List Number 5"/>
    <w:basedOn w:val="List5"/>
    <w:rsid w:val="00F030F6"/>
    <w:pPr>
      <w:numPr>
        <w:numId w:val="6"/>
      </w:numPr>
    </w:pPr>
  </w:style>
  <w:style w:type="paragraph" w:styleId="BlockText">
    <w:name w:val="Block Text"/>
    <w:basedOn w:val="Normal"/>
    <w:rsid w:val="00F030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0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0F6"/>
    <w:rPr>
      <w:sz w:val="16"/>
      <w:vertAlign w:val="superscript"/>
    </w:rPr>
  </w:style>
  <w:style w:type="character" w:customStyle="1" w:styleId="Symbols">
    <w:name w:val="Symbols"/>
    <w:basedOn w:val="DefaultParagraphFont"/>
    <w:rsid w:val="00F030F6"/>
    <w:rPr>
      <w:rFonts w:ascii="Symbol" w:hAnsi="Symbol"/>
    </w:rPr>
  </w:style>
  <w:style w:type="character" w:customStyle="1" w:styleId="MenuOptions">
    <w:name w:val="Menu Options"/>
    <w:basedOn w:val="DefaultParagraphFont"/>
    <w:rsid w:val="00F030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0F6"/>
    <w:rPr>
      <w:b/>
    </w:rPr>
  </w:style>
  <w:style w:type="character" w:customStyle="1" w:styleId="Underlined">
    <w:name w:val="Underlined"/>
    <w:basedOn w:val="DefaultParagraphFont"/>
    <w:rsid w:val="00F030F6"/>
    <w:rPr>
      <w:u w:val="single"/>
    </w:rPr>
  </w:style>
  <w:style w:type="paragraph" w:customStyle="1" w:styleId="TableBodyTextRight">
    <w:name w:val="Table Body Text Right"/>
    <w:basedOn w:val="TableBodyText"/>
    <w:rsid w:val="00F030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0F6"/>
    <w:rPr>
      <w:sz w:val="18"/>
    </w:rPr>
  </w:style>
  <w:style w:type="paragraph" w:customStyle="1" w:styleId="BodySmallRight">
    <w:name w:val="Body Small Right"/>
    <w:basedOn w:val="BodyTextRight"/>
    <w:rsid w:val="00F030F6"/>
    <w:rPr>
      <w:sz w:val="18"/>
      <w:szCs w:val="18"/>
    </w:rPr>
  </w:style>
  <w:style w:type="paragraph" w:customStyle="1" w:styleId="MarginEdition">
    <w:name w:val="Margin Edition"/>
    <w:basedOn w:val="MarginNote"/>
    <w:rsid w:val="00F030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0F6"/>
    <w:rPr>
      <w:sz w:val="2"/>
      <w:szCs w:val="2"/>
    </w:rPr>
  </w:style>
  <w:style w:type="character" w:customStyle="1" w:styleId="Small">
    <w:name w:val="Small"/>
    <w:basedOn w:val="DefaultParagraphFont"/>
    <w:rsid w:val="00F030F6"/>
    <w:rPr>
      <w:sz w:val="16"/>
    </w:rPr>
  </w:style>
  <w:style w:type="paragraph" w:customStyle="1" w:styleId="WideTable">
    <w:name w:val="Wide Table"/>
    <w:basedOn w:val="Normal"/>
    <w:rsid w:val="00F030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0F6"/>
  </w:style>
  <w:style w:type="paragraph" w:styleId="Quote">
    <w:name w:val="Quote"/>
    <w:basedOn w:val="Heading1"/>
    <w:link w:val="QuoteChar"/>
    <w:qFormat/>
    <w:rsid w:val="00F030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0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0F6"/>
    <w:pPr>
      <w:pageBreakBefore/>
    </w:pPr>
  </w:style>
  <w:style w:type="paragraph" w:customStyle="1" w:styleId="Border">
    <w:name w:val="Border"/>
    <w:basedOn w:val="Normal"/>
    <w:qFormat/>
    <w:rsid w:val="00F030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0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0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0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0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0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0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0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0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0F6"/>
    <w:rPr>
      <w:u w:val="single"/>
    </w:rPr>
  </w:style>
  <w:style w:type="character" w:customStyle="1" w:styleId="BoldandItalics">
    <w:name w:val="Bold and Italics"/>
    <w:qFormat/>
    <w:rsid w:val="00F030F6"/>
    <w:rPr>
      <w:b/>
      <w:i/>
      <w:u w:val="none"/>
    </w:rPr>
  </w:style>
  <w:style w:type="paragraph" w:styleId="BalloonText">
    <w:name w:val="Balloon Text"/>
    <w:basedOn w:val="Normal"/>
    <w:link w:val="BalloonTextChar"/>
    <w:rsid w:val="00F030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0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0F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0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0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0F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4176</Characters>
  <Application>Microsoft Office Word</Application>
  <DocSecurity>0</DocSecurity>
  <Lines>185</Lines>
  <Paragraphs>88</Paragraphs>
  <ScaleCrop>false</ScaleCrop>
  <Company>Author-it Software Corporation Ltd.</Company>
  <LinksUpToDate>false</LinksUpToDate>
  <CharactersWithSpaces>4759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PMBTECH504 Determine heat transfer loads for processing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2016-06-22T08:03:00Z</dcterms:created>
  <dcterms:modified xsi:type="dcterms:W3CDTF">2016-06-22T08:03:00Z</dcterms:modified>
</cp:coreProperties>
</file>