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AC2" w:rsidP="00585AC2">
      <w:pPr>
        <w:pStyle w:val="Title"/>
      </w:pPr>
      <w:r>
        <w:fldChar w:fldCharType="begin"/>
      </w:r>
      <w:r>
        <w:instrText xml:space="preserve"> TITLE   \* MERGEFORMAT </w:instrText>
      </w:r>
      <w:r>
        <w:fldChar w:fldCharType="separate"/>
      </w:r>
      <w:r>
        <w:t>PMBTECH501 Analyse equipment performance</w:t>
      </w:r>
      <w:r>
        <w:fldChar w:fldCharType="end"/>
      </w:r>
    </w:p>
    <w:p w:rsidR="00585AC2" w:rsidP="00585AC2">
      <w:pPr>
        <w:pStyle w:val="Version"/>
        <w:sectPr w:rsidSect="00ED6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9BF" w:rsidP="00ED69BF">
      <w:pPr>
        <w:pStyle w:val="SuperHeading"/>
      </w:pPr>
      <w:r w:rsidRPr="00ED69BF">
        <w:t>PMBTECH501 Analyse equipment performance</w:t>
      </w:r>
    </w:p>
    <w:p w:rsidR="00000000" w:rsidRPr="00ED69BF" w:rsidP="00ED69BF">
      <w:pPr>
        <w:pStyle w:val="Heading1"/>
      </w:pPr>
      <w:bookmarkStart w:id="1" w:name="O_927500"/>
      <w:bookmarkEnd w:id="1"/>
      <w:r w:rsidRPr="00ED69BF">
        <w:t>Modification History</w:t>
      </w:r>
    </w:p>
    <w:p w:rsidR="00000000" w:rsidRPr="00ED69BF" w:rsidP="00ED69BF">
      <w:pPr>
        <w:pStyle w:val="BodyText"/>
      </w:pPr>
      <w:r w:rsidRPr="00ED69BF">
        <w:t xml:space="preserve">Release 1. Supersedes and is equivalent to PMBTECH501B Analyse equipment performance  </w:t>
      </w:r>
    </w:p>
    <w:p w:rsidR="00000000" w:rsidRPr="00ED69BF" w:rsidP="00ED69BF">
      <w:pPr>
        <w:pStyle w:val="AllowPageBreak"/>
      </w:pPr>
    </w:p>
    <w:p w:rsidR="00000000" w:rsidRPr="00ED69BF" w:rsidP="00ED69BF">
      <w:pPr>
        <w:pStyle w:val="Heading1"/>
      </w:pPr>
      <w:bookmarkStart w:id="2" w:name="O_927508"/>
      <w:bookmarkEnd w:id="2"/>
      <w:r w:rsidRPr="00ED69BF">
        <w:t>Application</w:t>
      </w:r>
    </w:p>
    <w:p w:rsidR="00000000" w:rsidRPr="00ED69BF" w:rsidP="00ED69BF">
      <w:pPr>
        <w:pStyle w:val="BodyText"/>
      </w:pPr>
      <w:r w:rsidRPr="00ED69BF">
        <w:t>This unit of competency covers the skills and knowledge required to analyse and verify equipment performance. It applie</w:t>
      </w:r>
      <w:r w:rsidRPr="00ED69BF">
        <w:t>s to equipment that uses screws and dies/tools as typically used in extrusion, injection moulding and blow moulding.</w:t>
      </w:r>
    </w:p>
    <w:p w:rsidR="00000000" w:rsidRPr="00ED69BF" w:rsidP="00ED69BF">
      <w:pPr>
        <w:pStyle w:val="BodyText"/>
      </w:pPr>
    </w:p>
    <w:p w:rsidR="00000000" w:rsidRPr="00ED69BF" w:rsidP="00ED69BF">
      <w:pPr>
        <w:pStyle w:val="BodyText"/>
      </w:pPr>
      <w:r w:rsidRPr="00ED69BF">
        <w:t>This unit of competency applies to experienced technicians or those in similar roles who are required to apply in-depth knowledge of mater</w:t>
      </w:r>
      <w:r w:rsidRPr="00ED69BF">
        <w:t xml:space="preserve">ials, process, equipment and problem solving in order to set up and operate performance verification trials, determine actual compared to theoretical performance of equipment and equipment components, and make recommendations based on the results. </w:t>
      </w:r>
    </w:p>
    <w:p w:rsidR="00000000" w:rsidRPr="00ED69BF" w:rsidP="00ED69BF">
      <w:pPr>
        <w:pStyle w:val="BodyText"/>
      </w:pPr>
    </w:p>
    <w:p w:rsidR="00000000" w:rsidRPr="00ED69BF" w:rsidP="00ED69BF">
      <w:pPr>
        <w:pStyle w:val="BodyText"/>
      </w:pPr>
      <w:r w:rsidRPr="00ED69BF">
        <w:t>This u</w:t>
      </w:r>
      <w:r w:rsidRPr="00ED69BF">
        <w:t xml:space="preserve">nit of competency may be contextualised to analyse the performance of equipment that does not use screws and dies/tools, however, both the theoretical/mathematical and practical analysis of the process at a level equivalent to a screw/die analysis must be </w:t>
      </w:r>
      <w:r w:rsidRPr="00ED69BF">
        <w:t>included.</w:t>
      </w:r>
    </w:p>
    <w:p w:rsidR="00000000" w:rsidRPr="00ED69BF" w:rsidP="00ED69BF">
      <w:pPr>
        <w:pStyle w:val="BodyText"/>
      </w:pPr>
    </w:p>
    <w:p w:rsidR="00000000" w:rsidRPr="00ED69BF" w:rsidP="00ED69BF">
      <w:pPr>
        <w:pStyle w:val="BodyText"/>
      </w:pPr>
      <w:r w:rsidRPr="00ED69BF">
        <w:t>No licensing, legislative or certification requirements apply to this unit at the time of publication.</w:t>
      </w:r>
    </w:p>
    <w:p w:rsidR="00000000" w:rsidRPr="00ED69BF" w:rsidP="00ED69BF">
      <w:pPr>
        <w:pStyle w:val="AllowPageBreak"/>
      </w:pPr>
    </w:p>
    <w:p w:rsidR="00000000" w:rsidRPr="00ED69BF" w:rsidP="00ED69BF">
      <w:pPr>
        <w:pStyle w:val="Heading1"/>
      </w:pPr>
      <w:bookmarkStart w:id="3" w:name="O_927507"/>
      <w:bookmarkEnd w:id="3"/>
      <w:r w:rsidRPr="00ED69BF">
        <w:t>Pre-requisite Unit</w:t>
      </w:r>
    </w:p>
    <w:tbl>
      <w:tblPr>
        <w:tblW w:w="0" w:type="auto"/>
        <w:tblCellMar>
          <w:left w:w="62" w:type="dxa"/>
          <w:right w:w="62" w:type="dxa"/>
        </w:tblCellMar>
        <w:tblLook w:val="0000"/>
      </w:tblPr>
      <w:tblGrid>
        <w:gridCol w:w="2163"/>
        <w:gridCol w:w="7033"/>
      </w:tblGrid>
      <w:tr w:rsidTr="00585A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 xml:space="preserve">PMBTECH401 </w:t>
            </w:r>
          </w:p>
        </w:tc>
        <w:tc>
          <w:tcPr>
            <w:tcW w:w="0" w:type="auto"/>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 xml:space="preserve">Predict polymer properties and characteristics </w:t>
            </w:r>
          </w:p>
        </w:tc>
      </w:tr>
      <w:tr w:rsidTr="00585A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MSMOPS401</w:t>
            </w:r>
          </w:p>
        </w:tc>
        <w:tc>
          <w:tcPr>
            <w:tcW w:w="0" w:type="auto"/>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Trial new process or product</w:t>
            </w:r>
          </w:p>
        </w:tc>
      </w:tr>
    </w:tbl>
    <w:p w:rsidR="00000000" w:rsidRPr="00ED69BF" w:rsidP="00ED69BF">
      <w:pPr>
        <w:pStyle w:val="BodyText"/>
      </w:pPr>
    </w:p>
    <w:p w:rsidR="00000000" w:rsidRPr="00ED69BF" w:rsidP="00ED69BF">
      <w:pPr>
        <w:pStyle w:val="AllowPageBreak"/>
      </w:pPr>
    </w:p>
    <w:p w:rsidR="00000000" w:rsidRPr="00ED69BF" w:rsidP="00ED69BF">
      <w:pPr>
        <w:pStyle w:val="Heading1"/>
      </w:pPr>
      <w:bookmarkStart w:id="4" w:name="O_927506"/>
      <w:bookmarkEnd w:id="4"/>
      <w:r w:rsidRPr="00ED69BF">
        <w:t>Competency Field</w:t>
      </w:r>
    </w:p>
    <w:p w:rsidR="00000000" w:rsidRPr="00ED69BF" w:rsidP="00ED69BF">
      <w:pPr>
        <w:pStyle w:val="BodyText"/>
      </w:pPr>
      <w:r w:rsidRPr="00ED69BF">
        <w:t>Technical</w:t>
      </w:r>
    </w:p>
    <w:p w:rsidR="00000000" w:rsidRPr="00ED69BF" w:rsidP="00ED69BF">
      <w:pPr>
        <w:pStyle w:val="AllowPageBreak"/>
      </w:pPr>
    </w:p>
    <w:p w:rsidR="00000000" w:rsidRPr="00ED69BF" w:rsidP="00ED69BF">
      <w:pPr>
        <w:pStyle w:val="Heading1"/>
      </w:pPr>
      <w:bookmarkStart w:id="5" w:name="O_927505"/>
      <w:bookmarkEnd w:id="5"/>
      <w:r w:rsidRPr="00ED69BF">
        <w:t>Unit Sector</w:t>
      </w:r>
    </w:p>
    <w:p w:rsidR="00000000" w:rsidRPr="00ED69BF" w:rsidP="00ED69BF">
      <w:pPr>
        <w:pStyle w:val="BodyText"/>
      </w:pPr>
      <w:r w:rsidRPr="00ED69BF">
        <w:t>Not applicable</w:t>
      </w:r>
    </w:p>
    <w:p w:rsidR="00000000" w:rsidRPr="00ED69BF" w:rsidP="00ED69BF">
      <w:pPr>
        <w:pStyle w:val="AllowPageBreak"/>
      </w:pPr>
    </w:p>
    <w:p w:rsidR="00000000" w:rsidRPr="00ED69BF" w:rsidP="00ED69BF">
      <w:pPr>
        <w:pStyle w:val="Heading1"/>
      </w:pPr>
      <w:bookmarkStart w:id="6" w:name="O_927504"/>
      <w:bookmarkEnd w:id="6"/>
      <w:r w:rsidRPr="00ED69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69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Performance criteria describe the performance needed to demonstrate achieve</w:t>
            </w:r>
            <w:r w:rsidRPr="00ED69BF">
              <w:t>ment of the element.</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1</w:t>
            </w:r>
          </w:p>
        </w:tc>
        <w:tc>
          <w:tcPr>
            <w:tcW w:w="1962" w:type="dxa"/>
            <w:vMerge w:val="restart"/>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rPr>
                <w:rStyle w:val="SpecialBold"/>
              </w:rPr>
              <w:t>Determine theoretical performance</w:t>
            </w: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1.1</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Identify item of plant and plant component to be analysed</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1.2</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Locate and interpret design specification</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1.3</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Identify process materials being processed/to be processed during verification trial</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1.4</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Determine process material properties under process conditions</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1.5</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Calculate theoretical performance of component with that material under those conditions</w:t>
            </w:r>
          </w:p>
        </w:tc>
      </w:tr>
      <w:tr w:rsidTr="00ED6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69BF">
            <w:pPr>
              <w:pStyle w:val="BodyText"/>
              <w:rPr>
                <w:lang w:val="en-NZ"/>
              </w:rPr>
            </w:pP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2</w:t>
            </w:r>
          </w:p>
        </w:tc>
        <w:tc>
          <w:tcPr>
            <w:tcW w:w="1962" w:type="dxa"/>
            <w:vMerge w:val="restart"/>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rPr>
                <w:rStyle w:val="SpecialBold"/>
              </w:rPr>
              <w:t>Conduct trial</w:t>
            </w: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2.1</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Design verification trial to be compatible with theoretical analysis</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2.2</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Determine measurements needed from trial to yield required data</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2.3</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Select equipment suitable to give required measurements</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2.4</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Arrange for verification trial with relevant process personnel</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2.5</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Set up required measurement equipment</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2.6</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Supervise trial and ensure trial conditions are appropriate</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2.7</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Collect trial data for analysis</w:t>
            </w:r>
          </w:p>
        </w:tc>
      </w:tr>
      <w:tr w:rsidTr="00ED6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69BF">
            <w:pPr>
              <w:pStyle w:val="BodyText"/>
              <w:rPr>
                <w:lang w:val="en-NZ"/>
              </w:rPr>
            </w:pP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3</w:t>
            </w:r>
          </w:p>
        </w:tc>
        <w:tc>
          <w:tcPr>
            <w:tcW w:w="1962" w:type="dxa"/>
            <w:vMerge w:val="restart"/>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rPr>
                <w:rStyle w:val="SpecialBold"/>
              </w:rPr>
              <w:t>Verify performance of component</w:t>
            </w: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3.1</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Compare theoretical with actual performance</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3.2</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Determine significance of variation between theoretical and actual performance</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3.3</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Investigate any suspicious results and take appropriate action</w:t>
            </w:r>
          </w:p>
        </w:tc>
      </w:tr>
      <w:tr w:rsidTr="00ED69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69BF">
            <w:pPr>
              <w:pStyle w:val="BodyText"/>
              <w:rPr>
                <w:lang w:val="en-NZ"/>
              </w:rPr>
            </w:pP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4</w:t>
            </w:r>
          </w:p>
        </w:tc>
        <w:tc>
          <w:tcPr>
            <w:tcW w:w="1962" w:type="dxa"/>
            <w:vMerge w:val="restart"/>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rPr>
                <w:rStyle w:val="SpecialBold"/>
              </w:rPr>
              <w:t>Recommend required action</w:t>
            </w: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4.1</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Determine appropriate action to bring performance to desired level</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4.2</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Initiate the corrective action to procedures</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4.3</w:t>
            </w:r>
          </w:p>
        </w:tc>
        <w:tc>
          <w:tcPr>
            <w:tcW w:w="561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Determine measures to increase equipment productivity</w:t>
            </w:r>
          </w:p>
        </w:tc>
      </w:tr>
      <w:tr w:rsidTr="00ED69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4.4</w:t>
            </w:r>
          </w:p>
        </w:tc>
        <w:tc>
          <w:tcPr>
            <w:tcW w:w="5610" w:type="dxa"/>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Re-check performance after corrective action is implemented</w:t>
            </w:r>
          </w:p>
        </w:tc>
      </w:tr>
    </w:tbl>
    <w:p w:rsidR="00000000" w:rsidRPr="00ED69BF" w:rsidP="00ED69BF">
      <w:pPr>
        <w:pStyle w:val="BodyText"/>
      </w:pPr>
    </w:p>
    <w:p w:rsidR="00000000" w:rsidRPr="00ED69BF" w:rsidP="00ED69BF">
      <w:pPr>
        <w:pStyle w:val="AllowPageBreak"/>
      </w:pPr>
    </w:p>
    <w:p w:rsidR="00000000" w:rsidRPr="00ED69BF" w:rsidP="00ED69BF">
      <w:pPr>
        <w:pStyle w:val="Heading1"/>
      </w:pPr>
      <w:bookmarkStart w:id="7" w:name="O_927503"/>
      <w:bookmarkEnd w:id="7"/>
      <w:r w:rsidRPr="00ED69BF">
        <w:t>Foundation Skills</w:t>
      </w:r>
    </w:p>
    <w:p w:rsidR="00000000" w:rsidRPr="00ED69BF" w:rsidP="00ED69BF">
      <w:pPr>
        <w:pStyle w:val="BodyText"/>
      </w:pPr>
      <w:r w:rsidRPr="00ED69BF">
        <w:t>This section describes those required skills (language, literacy and numeracy) that are essential to performance.</w:t>
      </w:r>
    </w:p>
    <w:p w:rsidR="00000000" w:rsidRPr="00ED69BF" w:rsidP="00ED69BF">
      <w:pPr>
        <w:pStyle w:val="BodyText"/>
      </w:pPr>
    </w:p>
    <w:p w:rsidR="00000000" w:rsidRPr="00ED69BF" w:rsidP="00ED69BF">
      <w:pPr>
        <w:pStyle w:val="BodyText"/>
      </w:pPr>
      <w:r w:rsidRPr="00ED69BF">
        <w:t>Foundation skills essential to performance are explicit in the performance criteria of this unit of compete</w:t>
      </w:r>
      <w:r w:rsidRPr="00ED69BF">
        <w:t>ncy.</w:t>
      </w:r>
    </w:p>
    <w:p w:rsidR="00000000" w:rsidRPr="00ED69BF" w:rsidP="00ED69BF">
      <w:pPr>
        <w:pStyle w:val="AllowPageBreak"/>
      </w:pPr>
    </w:p>
    <w:p w:rsidR="00000000" w:rsidRPr="00ED69BF" w:rsidP="00ED69BF">
      <w:pPr>
        <w:pStyle w:val="Heading1"/>
      </w:pPr>
      <w:bookmarkStart w:id="8" w:name="O_927502"/>
      <w:bookmarkEnd w:id="8"/>
      <w:r w:rsidRPr="00ED69BF">
        <w:t>Range of Conditions</w:t>
      </w:r>
    </w:p>
    <w:tbl>
      <w:tblPr>
        <w:tblW w:w="0" w:type="auto"/>
        <w:tblCellMar>
          <w:left w:w="62" w:type="dxa"/>
          <w:right w:w="62" w:type="dxa"/>
        </w:tblCellMar>
        <w:tblLook w:val="0000"/>
      </w:tblPr>
      <w:tblGrid>
        <w:gridCol w:w="2163"/>
        <w:gridCol w:w="7033"/>
      </w:tblGrid>
      <w:tr w:rsidTr="00585A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t>This field allows for different work environments and conditions that may affect performance. Essential operating conditions that may be present (depending on the work situation, needs of the candidate, accessibili</w:t>
            </w:r>
            <w:r w:rsidRPr="00ED69BF">
              <w:t>ty of the item, and local industry and regional contexts) are included.</w:t>
            </w:r>
          </w:p>
        </w:tc>
      </w:tr>
      <w:tr w:rsidTr="00585A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The latest version of all legislation, regulations, industry codes of practice and Australian/international standards, or the version specified by the local re</w:t>
            </w:r>
            <w:r w:rsidRPr="00ED69BF">
              <w:t>gulatory authority, must be used.</w:t>
            </w:r>
          </w:p>
          <w:p w:rsidR="00000000" w:rsidRPr="00ED69BF" w:rsidP="00ED69BF">
            <w:pPr>
              <w:pStyle w:val="BodyText"/>
            </w:pPr>
          </w:p>
          <w:p w:rsidR="00000000" w:rsidRPr="00ED69BF" w:rsidP="00ED69BF">
            <w:pPr>
              <w:pStyle w:val="BodyText"/>
            </w:pPr>
            <w:r w:rsidRPr="00ED69BF">
              <w:t>Applicable legislation, regulations, standards and codes of practice include:</w:t>
            </w:r>
          </w:p>
          <w:p w:rsidR="00000000" w:rsidRPr="00ED69BF" w:rsidP="00ED69BF">
            <w:pPr>
              <w:pStyle w:val="ListBullet"/>
            </w:pPr>
            <w:r w:rsidRPr="00ED69BF">
              <w:t xml:space="preserve">health, safety and environmental (HSE) legislation, regulations and codes of practice </w:t>
            </w:r>
            <w:r w:rsidRPr="00ED69BF">
              <w:t xml:space="preserve">relevant to the workplace, manual handling, hazardous materials and product specifications </w:t>
            </w:r>
          </w:p>
          <w:p w:rsidR="00000000" w:rsidRPr="00ED69BF" w:rsidP="00ED69BF">
            <w:pPr>
              <w:pStyle w:val="ListBullet"/>
            </w:pPr>
            <w:r w:rsidRPr="00ED69BF">
              <w:t xml:space="preserve">Australian/international standards relevant to the materials being used and products being made </w:t>
            </w:r>
          </w:p>
          <w:p w:rsidR="00000000" w:rsidRPr="00ED69BF" w:rsidP="00ED69BF">
            <w:pPr>
              <w:pStyle w:val="ListBullet"/>
            </w:pPr>
            <w:r w:rsidRPr="00ED69BF">
              <w:t>any relevant licence and certification requirements.</w:t>
            </w:r>
          </w:p>
          <w:p w:rsidR="00000000" w:rsidRPr="00ED69BF" w:rsidP="00ED69BF">
            <w:pPr>
              <w:pStyle w:val="BodyText"/>
            </w:pPr>
          </w:p>
          <w:p w:rsidR="00000000" w:rsidRPr="00ED69BF" w:rsidP="00ED69BF">
            <w:pPr>
              <w:pStyle w:val="BodyText"/>
            </w:pPr>
            <w:r w:rsidRPr="00ED69BF">
              <w:t>All operation</w:t>
            </w:r>
            <w:r w:rsidRPr="00ED69BF">
              <w:t>s to which this unit applies are subject to stringent HSE requirements, which may be imposed through state/territory or federal legislation, and these must not be compromised at any time. Where there is an apparent conflict between performance criteria and</w:t>
            </w:r>
            <w:r w:rsidRPr="00ED69BF">
              <w:t xml:space="preserve"> such requirements the legislative requirements take precedence.</w:t>
            </w:r>
          </w:p>
          <w:p w:rsidR="00000000" w:rsidP="00ED69BF">
            <w:pPr>
              <w:pStyle w:val="BodyText"/>
              <w:rPr>
                <w:lang w:val="en-NZ"/>
              </w:rPr>
            </w:pPr>
          </w:p>
        </w:tc>
      </w:tr>
      <w:tr w:rsidTr="00585A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All operations must be performed in accordance with relevant procedures.</w:t>
            </w:r>
          </w:p>
          <w:p w:rsidR="00000000" w:rsidRPr="00ED69BF" w:rsidP="00ED69BF">
            <w:pPr>
              <w:pStyle w:val="BodyText"/>
            </w:pPr>
          </w:p>
          <w:p w:rsidR="00000000" w:rsidRPr="00ED69BF" w:rsidP="00ED69BF">
            <w:pPr>
              <w:pStyle w:val="BodyText"/>
            </w:pPr>
            <w:r w:rsidRPr="00ED69BF">
              <w:t>Procedures are written, verbal, visual, computer-based or in some other form, and include one or any com</w:t>
            </w:r>
            <w:r w:rsidRPr="00ED69BF">
              <w:t>bination of:</w:t>
            </w:r>
          </w:p>
          <w:p w:rsidR="00000000" w:rsidRPr="00ED69BF" w:rsidP="00ED69BF">
            <w:pPr>
              <w:pStyle w:val="ListBullet"/>
            </w:pPr>
            <w:r w:rsidRPr="00ED69BF">
              <w:t>test procedures</w:t>
            </w:r>
          </w:p>
          <w:p w:rsidR="00000000" w:rsidRPr="00ED69BF" w:rsidP="00ED69BF">
            <w:pPr>
              <w:pStyle w:val="ListBullet"/>
            </w:pPr>
            <w:r w:rsidRPr="00ED69BF">
              <w:t>technical specifications</w:t>
            </w:r>
          </w:p>
          <w:p w:rsidR="00000000" w:rsidRPr="00ED69BF" w:rsidP="00ED69BF">
            <w:pPr>
              <w:pStyle w:val="ListBullet"/>
            </w:pPr>
            <w:r w:rsidRPr="00ED69BF">
              <w:t>technical drawings</w:t>
            </w:r>
          </w:p>
          <w:p w:rsidR="00000000" w:rsidRPr="00ED69BF" w:rsidP="00ED69BF">
            <w:pPr>
              <w:pStyle w:val="ListBullet"/>
            </w:pPr>
            <w:r w:rsidRPr="00ED69BF">
              <w:t>emergency procedures</w:t>
            </w:r>
          </w:p>
          <w:p w:rsidR="00000000" w:rsidRPr="00ED69BF" w:rsidP="00ED69BF">
            <w:pPr>
              <w:pStyle w:val="ListBullet"/>
            </w:pPr>
            <w:r w:rsidRPr="00ED69BF">
              <w:t>work instructions</w:t>
            </w:r>
          </w:p>
          <w:p w:rsidR="00000000" w:rsidRPr="00ED69BF" w:rsidP="00ED69BF">
            <w:pPr>
              <w:pStyle w:val="ListBullet"/>
            </w:pPr>
            <w:r w:rsidRPr="00ED69BF">
              <w:t>standard operating procedures (SOPs)</w:t>
            </w:r>
          </w:p>
          <w:p w:rsidR="00000000" w:rsidRPr="00ED69BF" w:rsidP="00ED69BF">
            <w:pPr>
              <w:pStyle w:val="ListBullet"/>
            </w:pPr>
            <w:r w:rsidRPr="00ED69BF">
              <w:t>safe work method statements (SWMS)</w:t>
            </w:r>
          </w:p>
          <w:p w:rsidR="00000000" w:rsidRPr="00ED69BF" w:rsidP="00ED69BF">
            <w:pPr>
              <w:pStyle w:val="ListBullet"/>
            </w:pPr>
            <w:r w:rsidRPr="00ED69BF">
              <w:t>formulas/recipes</w:t>
            </w:r>
          </w:p>
          <w:p w:rsidR="00000000" w:rsidRPr="00ED69BF" w:rsidP="00ED69BF">
            <w:pPr>
              <w:pStyle w:val="ListBullet"/>
            </w:pPr>
            <w:r w:rsidRPr="00ED69BF">
              <w:t>batch sheets</w:t>
            </w:r>
          </w:p>
          <w:p w:rsidR="00000000" w:rsidRPr="00ED69BF" w:rsidP="00ED69BF">
            <w:pPr>
              <w:pStyle w:val="ListBullet"/>
            </w:pPr>
            <w:r w:rsidRPr="00ED69BF">
              <w:t>temporary instructions</w:t>
            </w:r>
          </w:p>
          <w:p w:rsidR="00000000" w:rsidRPr="00ED69BF" w:rsidP="00ED69BF">
            <w:pPr>
              <w:pStyle w:val="ListBullet"/>
            </w:pPr>
            <w:r w:rsidRPr="00ED69BF">
              <w:t>any similar instructions provided for the smooth running of the plant.</w:t>
            </w:r>
          </w:p>
          <w:p w:rsidR="00000000" w:rsidP="00ED69BF">
            <w:pPr>
              <w:pStyle w:val="BodyText"/>
              <w:rPr>
                <w:lang w:val="en-NZ"/>
              </w:rPr>
            </w:pPr>
          </w:p>
        </w:tc>
      </w:tr>
      <w:tr w:rsidTr="00585A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Tools and equipment include:</w:t>
            </w:r>
          </w:p>
          <w:p w:rsidR="00000000" w:rsidRPr="00ED69BF" w:rsidP="00ED69BF">
            <w:pPr>
              <w:pStyle w:val="ListBullet"/>
            </w:pPr>
            <w:r w:rsidRPr="00ED69BF">
              <w:t>measuring equipment (e.g. micrometers, tapes, verniers and scales)</w:t>
            </w:r>
          </w:p>
          <w:p w:rsidR="00000000" w:rsidRPr="00ED69BF" w:rsidP="00ED69BF">
            <w:pPr>
              <w:pStyle w:val="ListBullet"/>
            </w:pPr>
            <w:r w:rsidRPr="00ED69BF">
              <w:t>hand tools</w:t>
            </w:r>
          </w:p>
          <w:p w:rsidR="00000000" w:rsidRPr="00ED69BF" w:rsidP="00ED69BF">
            <w:pPr>
              <w:pStyle w:val="ListBullet"/>
            </w:pPr>
            <w:r w:rsidRPr="00ED69BF">
              <w:t>data analysis tools (e.g. computer programs for data re</w:t>
            </w:r>
            <w:r w:rsidRPr="00ED69BF">
              <w:t>cording and presentation).</w:t>
            </w:r>
          </w:p>
          <w:p w:rsidR="00000000" w:rsidP="00ED69BF">
            <w:pPr>
              <w:pStyle w:val="BodyText"/>
              <w:rPr>
                <w:lang w:val="en-NZ"/>
              </w:rPr>
            </w:pPr>
          </w:p>
        </w:tc>
      </w:tr>
      <w:tr w:rsidTr="00585A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9BF">
            <w:pPr>
              <w:pStyle w:val="BodyText"/>
              <w:rPr>
                <w:lang w:val="en-NZ"/>
              </w:rPr>
            </w:pPr>
            <w:r w:rsidRPr="00ED69B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D69BF" w:rsidP="00ED69BF">
            <w:pPr>
              <w:pStyle w:val="BodyText"/>
            </w:pPr>
            <w:r w:rsidRPr="00ED69BF">
              <w:t>Hazards must be identified and controlled. Identifying hazards requires consideration of:</w:t>
            </w:r>
          </w:p>
          <w:p w:rsidR="00000000" w:rsidRPr="00ED69BF" w:rsidP="00ED69BF">
            <w:pPr>
              <w:pStyle w:val="ListBullet"/>
            </w:pPr>
            <w:r w:rsidRPr="00ED69BF">
              <w:t>hazardous products and materials</w:t>
            </w:r>
          </w:p>
          <w:p w:rsidR="00000000" w:rsidRPr="00ED69BF" w:rsidP="00ED69BF">
            <w:pPr>
              <w:pStyle w:val="ListBullet"/>
            </w:pPr>
            <w:r w:rsidRPr="00ED69BF">
              <w:t>rotational equipment or vibration</w:t>
            </w:r>
          </w:p>
          <w:p w:rsidR="00000000" w:rsidRPr="00ED69BF" w:rsidP="00ED69BF">
            <w:pPr>
              <w:pStyle w:val="ListBullet"/>
            </w:pPr>
            <w:r w:rsidRPr="00ED69BF">
              <w:t>sharp edges, protrusions or obstructions</w:t>
            </w:r>
          </w:p>
          <w:p w:rsidR="00000000" w:rsidRPr="00ED69BF" w:rsidP="00ED69BF">
            <w:pPr>
              <w:pStyle w:val="ListBullet"/>
            </w:pPr>
            <w:r w:rsidRPr="00ED69BF">
              <w:t>slippery surfaces, spills or leaks</w:t>
            </w:r>
          </w:p>
          <w:p w:rsidR="00000000" w:rsidRPr="00ED69BF" w:rsidP="00ED69BF">
            <w:pPr>
              <w:pStyle w:val="ListBullet"/>
            </w:pPr>
            <w:r w:rsidRPr="00ED69BF">
              <w:t>smoke, dust or other atmospheric hazards</w:t>
            </w:r>
          </w:p>
          <w:p w:rsidR="00000000" w:rsidRPr="00ED69BF" w:rsidP="00ED69BF">
            <w:pPr>
              <w:pStyle w:val="ListBullet"/>
            </w:pPr>
            <w:r w:rsidRPr="00ED69BF">
              <w:t>moving machinery</w:t>
            </w:r>
          </w:p>
          <w:p w:rsidR="00000000" w:rsidRPr="00ED69BF" w:rsidP="00ED69BF">
            <w:pPr>
              <w:pStyle w:val="ListBullet"/>
            </w:pPr>
            <w:r w:rsidRPr="00ED69BF">
              <w:t>high temperatures</w:t>
            </w:r>
          </w:p>
          <w:p w:rsidR="00000000" w:rsidRPr="00ED69BF" w:rsidP="00ED69BF">
            <w:pPr>
              <w:pStyle w:val="ListBullet"/>
            </w:pPr>
            <w:r w:rsidRPr="00ED69BF">
              <w:t>other hazards that might arise.</w:t>
            </w:r>
          </w:p>
        </w:tc>
      </w:tr>
    </w:tbl>
    <w:p w:rsidR="00000000" w:rsidRPr="00ED69BF" w:rsidP="00ED69BF">
      <w:pPr>
        <w:pStyle w:val="BodyText"/>
      </w:pPr>
    </w:p>
    <w:p w:rsidR="00000000" w:rsidRPr="00ED69BF" w:rsidP="00ED69BF">
      <w:pPr>
        <w:pStyle w:val="AllowPageBreak"/>
      </w:pPr>
    </w:p>
    <w:p w:rsidR="00000000" w:rsidRPr="00ED69BF" w:rsidP="00ED69BF">
      <w:pPr>
        <w:pStyle w:val="Heading1"/>
      </w:pPr>
      <w:bookmarkStart w:id="9" w:name="O_927501"/>
      <w:bookmarkEnd w:id="9"/>
      <w:r w:rsidRPr="00ED69BF">
        <w:t>Unit Mapping Information</w:t>
      </w:r>
    </w:p>
    <w:p w:rsidR="00000000" w:rsidRPr="00ED69BF" w:rsidP="00ED69BF">
      <w:pPr>
        <w:pStyle w:val="BodyText"/>
      </w:pPr>
      <w:r w:rsidRPr="00ED69BF">
        <w:t xml:space="preserve">Release 1. Supersedes and is equivalent to PMBTECH501B Analyse equipment performance  </w:t>
      </w:r>
    </w:p>
    <w:p w:rsidR="00000000" w:rsidRPr="00ED69BF" w:rsidP="00ED69BF">
      <w:pPr>
        <w:pStyle w:val="AllowPageBreak"/>
      </w:pPr>
    </w:p>
    <w:p w:rsidR="00000000" w:rsidRPr="00ED69BF" w:rsidP="00ED69BF">
      <w:pPr>
        <w:pStyle w:val="Heading1"/>
      </w:pPr>
      <w:bookmarkStart w:id="10" w:name="O_927494"/>
      <w:bookmarkEnd w:id="10"/>
      <w:r w:rsidRPr="00ED69BF">
        <w:t>Links</w:t>
      </w:r>
    </w:p>
    <w:p w:rsidR="00000000" w:rsidRPr="00ED69BF" w:rsidP="00ED69BF">
      <w:pPr>
        <w:pStyle w:val="BodyText"/>
      </w:pPr>
      <w:r w:rsidRPr="00ED69BF">
        <w:t>MSA Training Package Implementation Guides - http://mskills.org.au/training-packages/info/</w:t>
      </w:r>
    </w:p>
    <w:p w:rsidR="00000000" w:rsidRPr="00ED69BF" w:rsidP="00ED69BF"/>
    <w:sectPr w:rsidSect="00ED6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BF" w:rsidRPr="00585AC2" w:rsidP="00585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C2" w:rsidP="00ED6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5AC2" w:rsidP="00ED69B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5AC2" w:rsidP="00ED6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BF" w:rsidRPr="00585AC2" w:rsidP="00585A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C2" w:rsidRPr="002D2AF8" w:rsidP="00ED69BF">
    <w:pPr>
      <w:pStyle w:val="Header"/>
      <w:framePr w:wrap="around"/>
    </w:pPr>
    <w:r>
      <w:fldChar w:fldCharType="begin"/>
    </w:r>
    <w:r>
      <w:instrText xml:space="preserve"> TITLE   \* MERGEFORMAT </w:instrText>
    </w:r>
    <w:r>
      <w:fldChar w:fldCharType="separate"/>
    </w:r>
    <w:r>
      <w:t>PMBTECH501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85AC2" w:rsidP="00ED6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8609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86A1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9BF"/>
    <w:pPr>
      <w:spacing w:before="360" w:after="60"/>
      <w:outlineLvl w:val="0"/>
    </w:pPr>
    <w:rPr>
      <w:sz w:val="32"/>
    </w:rPr>
  </w:style>
  <w:style w:type="paragraph" w:styleId="Heading2">
    <w:name w:val="heading 2"/>
    <w:basedOn w:val="HeadingBase"/>
    <w:next w:val="BodyText"/>
    <w:link w:val="Heading2Char"/>
    <w:qFormat/>
    <w:rsid w:val="00ED69BF"/>
    <w:pPr>
      <w:keepLines/>
      <w:spacing w:before="240" w:after="120"/>
      <w:outlineLvl w:val="1"/>
    </w:pPr>
    <w:rPr>
      <w:sz w:val="28"/>
      <w:szCs w:val="40"/>
    </w:rPr>
  </w:style>
  <w:style w:type="paragraph" w:styleId="Heading3">
    <w:name w:val="heading 3"/>
    <w:basedOn w:val="HeadingBase"/>
    <w:next w:val="BodyText"/>
    <w:link w:val="Heading3Char"/>
    <w:qFormat/>
    <w:rsid w:val="00ED69BF"/>
    <w:pPr>
      <w:spacing w:before="180" w:after="120"/>
      <w:outlineLvl w:val="2"/>
    </w:pPr>
    <w:rPr>
      <w:spacing w:val="-10"/>
      <w:kern w:val="32"/>
    </w:rPr>
  </w:style>
  <w:style w:type="paragraph" w:styleId="Heading4">
    <w:name w:val="heading 4"/>
    <w:basedOn w:val="HeadingBase"/>
    <w:next w:val="BodyText"/>
    <w:link w:val="Heading4Char"/>
    <w:qFormat/>
    <w:rsid w:val="00ED69BF"/>
    <w:pPr>
      <w:spacing w:before="160" w:after="120"/>
      <w:outlineLvl w:val="3"/>
    </w:pPr>
    <w:rPr>
      <w:sz w:val="22"/>
    </w:rPr>
  </w:style>
  <w:style w:type="paragraph" w:styleId="Heading5">
    <w:name w:val="heading 5"/>
    <w:basedOn w:val="HeadingBase"/>
    <w:next w:val="Normal"/>
    <w:link w:val="Heading5Char"/>
    <w:qFormat/>
    <w:rsid w:val="00ED69BF"/>
    <w:pPr>
      <w:spacing w:before="80"/>
      <w:outlineLvl w:val="4"/>
    </w:pPr>
    <w:rPr>
      <w:color w:val="918585"/>
      <w:sz w:val="20"/>
    </w:rPr>
  </w:style>
  <w:style w:type="paragraph" w:styleId="Heading6">
    <w:name w:val="heading 6"/>
    <w:basedOn w:val="HeadingBase"/>
    <w:next w:val="Normal"/>
    <w:link w:val="Heading6Char"/>
    <w:qFormat/>
    <w:rsid w:val="00ED69BF"/>
    <w:pPr>
      <w:spacing w:before="60"/>
      <w:outlineLvl w:val="5"/>
    </w:pPr>
    <w:rPr>
      <w:color w:val="918585"/>
      <w:sz w:val="20"/>
    </w:rPr>
  </w:style>
  <w:style w:type="paragraph" w:styleId="Heading7">
    <w:name w:val="heading 7"/>
    <w:basedOn w:val="Normal"/>
    <w:next w:val="Normal"/>
    <w:link w:val="Heading7Char"/>
    <w:qFormat/>
    <w:rsid w:val="00ED69BF"/>
    <w:pPr>
      <w:ind w:left="720"/>
      <w:outlineLvl w:val="6"/>
    </w:pPr>
    <w:rPr>
      <w:i/>
    </w:rPr>
  </w:style>
  <w:style w:type="paragraph" w:styleId="Heading8">
    <w:name w:val="heading 8"/>
    <w:basedOn w:val="Normal"/>
    <w:next w:val="Normal"/>
    <w:link w:val="Heading8Char"/>
    <w:qFormat/>
    <w:rsid w:val="00ED69BF"/>
    <w:pPr>
      <w:ind w:left="720"/>
      <w:outlineLvl w:val="7"/>
    </w:pPr>
    <w:rPr>
      <w:i/>
    </w:rPr>
  </w:style>
  <w:style w:type="paragraph" w:styleId="Heading9">
    <w:name w:val="heading 9"/>
    <w:basedOn w:val="Normal"/>
    <w:next w:val="Normal"/>
    <w:link w:val="Heading9Char"/>
    <w:qFormat/>
    <w:rsid w:val="00ED69BF"/>
    <w:pPr>
      <w:ind w:left="720"/>
      <w:outlineLvl w:val="8"/>
    </w:pPr>
    <w:rPr>
      <w:i/>
    </w:rPr>
  </w:style>
  <w:style w:type="character" w:default="1" w:styleId="DefaultParagraphFont">
    <w:name w:val="Default Paragraph Font"/>
    <w:uiPriority w:val="1"/>
    <w:unhideWhenUsed/>
    <w:rsid w:val="00ED6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9BF"/>
  </w:style>
  <w:style w:type="character" w:customStyle="1" w:styleId="Heading1Char">
    <w:name w:val="Heading 1 Char"/>
    <w:basedOn w:val="DefaultParagraphFont"/>
    <w:link w:val="Heading1"/>
    <w:rsid w:val="00ED69BF"/>
    <w:rPr>
      <w:rFonts w:ascii="Times New Roman" w:eastAsia="Times New Roman" w:hAnsi="Times New Roman" w:cs="Times New Roman"/>
      <w:b/>
      <w:sz w:val="32"/>
      <w:szCs w:val="20"/>
      <w:lang w:eastAsia="en-US"/>
    </w:rPr>
  </w:style>
  <w:style w:type="paragraph" w:styleId="BodyText">
    <w:name w:val="Body Text"/>
    <w:basedOn w:val="Normal"/>
    <w:link w:val="BodyTextChar"/>
    <w:rsid w:val="00ED69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9BF"/>
    <w:rPr>
      <w:rFonts w:ascii="Times New Roman" w:eastAsia="Times New Roman" w:hAnsi="Times New Roman" w:cs="Times New Roman"/>
      <w:sz w:val="24"/>
      <w:lang w:eastAsia="en-US"/>
    </w:rPr>
  </w:style>
  <w:style w:type="paragraph" w:styleId="ListBullet">
    <w:name w:val="List Bullet"/>
    <w:basedOn w:val="List"/>
    <w:rsid w:val="00ED69BF"/>
    <w:pPr>
      <w:numPr>
        <w:numId w:val="12"/>
      </w:numPr>
      <w:tabs>
        <w:tab w:val="clear" w:pos="340"/>
      </w:tabs>
      <w:spacing w:before="40" w:after="40"/>
    </w:pPr>
  </w:style>
  <w:style w:type="character" w:customStyle="1" w:styleId="SpecialBold">
    <w:name w:val="Special Bold"/>
    <w:basedOn w:val="DefaultParagraphFont"/>
    <w:rsid w:val="00ED69BF"/>
    <w:rPr>
      <w:b/>
      <w:spacing w:val="0"/>
    </w:rPr>
  </w:style>
  <w:style w:type="paragraph" w:customStyle="1" w:styleId="SuperHeading">
    <w:name w:val="SuperHeading"/>
    <w:basedOn w:val="Normal"/>
    <w:rsid w:val="00ED69BF"/>
    <w:pPr>
      <w:spacing w:before="240" w:after="120"/>
      <w:outlineLvl w:val="0"/>
    </w:pPr>
    <w:rPr>
      <w:rFonts w:ascii="Times New Roman" w:hAnsi="Times New Roman"/>
      <w:b/>
      <w:sz w:val="32"/>
    </w:rPr>
  </w:style>
  <w:style w:type="paragraph" w:customStyle="1" w:styleId="AllowPageBreak">
    <w:name w:val="AllowPageBreak"/>
    <w:rsid w:val="00ED6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9BF"/>
    <w:rPr>
      <w:rFonts w:ascii="Courier New" w:eastAsia="Times New Roman" w:hAnsi="Courier New" w:cs="Times New Roman"/>
      <w:i/>
      <w:szCs w:val="20"/>
      <w:lang w:eastAsia="en-US"/>
    </w:rPr>
  </w:style>
  <w:style w:type="paragraph" w:customStyle="1" w:styleId="HeadingBase">
    <w:name w:val="Heading Base"/>
    <w:rsid w:val="00ED6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9BF"/>
    <w:pPr>
      <w:tabs>
        <w:tab w:val="right" w:leader="dot" w:pos="9072"/>
      </w:tabs>
      <w:ind w:left="567"/>
    </w:pPr>
    <w:rPr>
      <w:szCs w:val="22"/>
    </w:rPr>
  </w:style>
  <w:style w:type="paragraph" w:customStyle="1" w:styleId="TOCBase">
    <w:name w:val="TOC Base"/>
    <w:rsid w:val="00ED6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9BF"/>
    <w:pPr>
      <w:tabs>
        <w:tab w:val="right" w:leader="dot" w:pos="9072"/>
      </w:tabs>
      <w:spacing w:before="40" w:after="40"/>
      <w:ind w:left="284"/>
    </w:pPr>
    <w:rPr>
      <w:rFonts w:ascii="Times New Roman" w:hAnsi="Times New Roman"/>
    </w:rPr>
  </w:style>
  <w:style w:type="paragraph" w:styleId="TOC1">
    <w:name w:val="toc 1"/>
    <w:basedOn w:val="TOCBase"/>
    <w:next w:val="Normal"/>
    <w:rsid w:val="00ED6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9BF"/>
    <w:rPr>
      <w:rFonts w:ascii="Times New Roman" w:eastAsia="Times New Roman" w:hAnsi="Times New Roman" w:cs="Times New Roman"/>
      <w:sz w:val="16"/>
      <w:lang w:eastAsia="en-US"/>
    </w:rPr>
  </w:style>
  <w:style w:type="paragraph" w:styleId="Title">
    <w:name w:val="Title"/>
    <w:basedOn w:val="HeadingBase"/>
    <w:link w:val="TitleChar"/>
    <w:qFormat/>
    <w:rsid w:val="00ED69BF"/>
    <w:pPr>
      <w:spacing w:before="5040"/>
      <w:jc w:val="center"/>
    </w:pPr>
    <w:rPr>
      <w:sz w:val="48"/>
      <w:szCs w:val="72"/>
      <w:lang w:val="en-US"/>
    </w:rPr>
  </w:style>
  <w:style w:type="character" w:customStyle="1" w:styleId="TitleChar">
    <w:name w:val="Title Char"/>
    <w:basedOn w:val="DefaultParagraphFont"/>
    <w:link w:val="Title"/>
    <w:rsid w:val="00ED6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9BF"/>
    <w:pPr>
      <w:tabs>
        <w:tab w:val="left" w:pos="3600"/>
        <w:tab w:val="left" w:pos="3958"/>
      </w:tabs>
    </w:pPr>
  </w:style>
  <w:style w:type="paragraph" w:styleId="List">
    <w:name w:val="List"/>
    <w:basedOn w:val="BodyText"/>
    <w:next w:val="BodyText"/>
    <w:rsid w:val="00ED69BF"/>
    <w:pPr>
      <w:tabs>
        <w:tab w:val="left" w:pos="340"/>
      </w:tabs>
      <w:spacing w:before="60" w:after="60"/>
      <w:ind w:left="340" w:hanging="340"/>
    </w:pPr>
  </w:style>
  <w:style w:type="paragraph" w:customStyle="1" w:styleId="Note">
    <w:name w:val="Note"/>
    <w:basedOn w:val="BodyText"/>
    <w:rsid w:val="00ED6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9BF"/>
    <w:pPr>
      <w:framePr w:wrap="auto" w:hAnchor="text" w:y="6049"/>
    </w:pPr>
    <w:rPr>
      <w:color w:val="000000"/>
      <w:sz w:val="40"/>
    </w:rPr>
  </w:style>
  <w:style w:type="paragraph" w:customStyle="1" w:styleId="TOCTitle">
    <w:name w:val="TOCTitle"/>
    <w:basedOn w:val="Heading1"/>
    <w:rsid w:val="00ED69BF"/>
    <w:pPr>
      <w:spacing w:after="240"/>
      <w:jc w:val="center"/>
      <w:outlineLvl w:val="9"/>
    </w:pPr>
    <w:rPr>
      <w:caps/>
    </w:rPr>
  </w:style>
  <w:style w:type="paragraph" w:customStyle="1" w:styleId="Version">
    <w:name w:val="Version"/>
    <w:rsid w:val="00ED6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9BF"/>
    <w:pPr>
      <w:numPr>
        <w:numId w:val="13"/>
      </w:numPr>
      <w:tabs>
        <w:tab w:val="clear" w:pos="680"/>
      </w:tabs>
    </w:pPr>
  </w:style>
  <w:style w:type="paragraph" w:styleId="Index1">
    <w:name w:val="index 1"/>
    <w:basedOn w:val="Normal"/>
    <w:next w:val="Normal"/>
    <w:semiHidden/>
    <w:rsid w:val="00ED69BF"/>
    <w:pPr>
      <w:keepNext w:val="0"/>
      <w:tabs>
        <w:tab w:val="right" w:pos="4176"/>
      </w:tabs>
      <w:ind w:left="198" w:hanging="198"/>
    </w:pPr>
    <w:rPr>
      <w:rFonts w:ascii="Garamond" w:hAnsi="Garamond"/>
    </w:rPr>
  </w:style>
  <w:style w:type="paragraph" w:styleId="IndexHeading">
    <w:name w:val="index heading"/>
    <w:basedOn w:val="Normal"/>
    <w:next w:val="Index1"/>
    <w:semiHidden/>
    <w:rsid w:val="00ED69BF"/>
    <w:pPr>
      <w:spacing w:before="120" w:after="120"/>
    </w:pPr>
    <w:rPr>
      <w:rFonts w:ascii="Arial" w:hAnsi="Arial"/>
      <w:b/>
      <w:color w:val="918585"/>
      <w:sz w:val="24"/>
    </w:rPr>
  </w:style>
  <w:style w:type="paragraph" w:styleId="Header">
    <w:name w:val="header"/>
    <w:basedOn w:val="Normal"/>
    <w:link w:val="HeaderChar"/>
    <w:rsid w:val="00ED6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9BF"/>
    <w:rPr>
      <w:rFonts w:ascii="Times New Roman" w:eastAsia="Times New Roman" w:hAnsi="Times New Roman" w:cs="Times New Roman"/>
      <w:sz w:val="16"/>
      <w:szCs w:val="20"/>
      <w:lang w:val="en-GB" w:eastAsia="en-US"/>
    </w:rPr>
  </w:style>
  <w:style w:type="paragraph" w:customStyle="1" w:styleId="Chapter">
    <w:name w:val="Chapter"/>
    <w:basedOn w:val="Normal"/>
    <w:rsid w:val="00ED69BF"/>
    <w:pPr>
      <w:spacing w:before="240"/>
    </w:pPr>
    <w:rPr>
      <w:rFonts w:ascii="Times New Roman" w:hAnsi="Times New Roman"/>
      <w:smallCaps/>
      <w:spacing w:val="80"/>
      <w:sz w:val="28"/>
    </w:rPr>
  </w:style>
  <w:style w:type="paragraph" w:customStyle="1" w:styleId="InChapter">
    <w:name w:val="InChapter"/>
    <w:basedOn w:val="Heading3"/>
    <w:rsid w:val="00ED69BF"/>
    <w:pPr>
      <w:spacing w:after="240"/>
      <w:outlineLvl w:val="9"/>
    </w:pPr>
    <w:rPr>
      <w:noProof/>
    </w:rPr>
  </w:style>
  <w:style w:type="paragraph" w:styleId="Index2">
    <w:name w:val="index 2"/>
    <w:basedOn w:val="Normal"/>
    <w:next w:val="Normal"/>
    <w:semiHidden/>
    <w:rsid w:val="00ED69BF"/>
    <w:pPr>
      <w:tabs>
        <w:tab w:val="right" w:pos="4176"/>
      </w:tabs>
      <w:ind w:left="568" w:hanging="284"/>
    </w:pPr>
    <w:rPr>
      <w:rFonts w:ascii="Garamond" w:hAnsi="Garamond"/>
    </w:rPr>
  </w:style>
  <w:style w:type="paragraph" w:customStyle="1" w:styleId="Byline">
    <w:name w:val="Byline"/>
    <w:rsid w:val="00ED6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9BF"/>
    <w:pPr>
      <w:tabs>
        <w:tab w:val="clear" w:pos="3600"/>
        <w:tab w:val="clear" w:pos="3958"/>
      </w:tabs>
      <w:jc w:val="right"/>
    </w:pPr>
  </w:style>
  <w:style w:type="character" w:styleId="Emphasis">
    <w:name w:val="Emphasis"/>
    <w:basedOn w:val="DefaultParagraphFont"/>
    <w:qFormat/>
    <w:rsid w:val="00ED69BF"/>
    <w:rPr>
      <w:i/>
    </w:rPr>
  </w:style>
  <w:style w:type="paragraph" w:styleId="Caption">
    <w:name w:val="caption"/>
    <w:basedOn w:val="BodyText"/>
    <w:next w:val="Normal"/>
    <w:qFormat/>
    <w:rsid w:val="00ED69BF"/>
    <w:pPr>
      <w:framePr w:w="2268" w:hSpace="181" w:vSpace="181" w:wrap="around" w:vAnchor="text" w:hAnchor="page" w:x="1135" w:y="285" w:anchorLock="1"/>
    </w:pPr>
    <w:rPr>
      <w:i/>
    </w:rPr>
  </w:style>
  <w:style w:type="paragraph" w:customStyle="1" w:styleId="MiniTOCTitle">
    <w:name w:val="MiniTOCTitle"/>
    <w:basedOn w:val="Heading4"/>
    <w:rsid w:val="00ED69BF"/>
    <w:pPr>
      <w:spacing w:before="240"/>
      <w:outlineLvl w:val="9"/>
    </w:pPr>
    <w:rPr>
      <w:noProof/>
      <w:sz w:val="24"/>
    </w:rPr>
  </w:style>
  <w:style w:type="paragraph" w:customStyle="1" w:styleId="MiniTOCItem">
    <w:name w:val="MiniTOCItem"/>
    <w:basedOn w:val="ListBullet"/>
    <w:rsid w:val="00ED69BF"/>
    <w:pPr>
      <w:numPr>
        <w:numId w:val="0"/>
      </w:numPr>
      <w:tabs>
        <w:tab w:val="right" w:leader="dot" w:pos="6521"/>
      </w:tabs>
      <w:spacing w:before="0" w:after="0"/>
    </w:pPr>
  </w:style>
  <w:style w:type="paragraph" w:customStyle="1" w:styleId="TOFTitle">
    <w:name w:val="TOFTitle"/>
    <w:basedOn w:val="TOCTitle"/>
    <w:rsid w:val="00ED69BF"/>
  </w:style>
  <w:style w:type="paragraph" w:styleId="TableofFigures">
    <w:name w:val="table of figures"/>
    <w:basedOn w:val="Normal"/>
    <w:next w:val="Normal"/>
    <w:semiHidden/>
    <w:rsid w:val="00ED69BF"/>
    <w:pPr>
      <w:tabs>
        <w:tab w:val="right" w:leader="dot" w:pos="9072"/>
      </w:tabs>
      <w:ind w:left="970" w:hanging="403"/>
    </w:pPr>
    <w:rPr>
      <w:rFonts w:ascii="Times New Roman" w:hAnsi="Times New Roman"/>
      <w:b/>
    </w:rPr>
  </w:style>
  <w:style w:type="paragraph" w:styleId="ListNumber">
    <w:name w:val="List Number"/>
    <w:basedOn w:val="List"/>
    <w:rsid w:val="00ED69BF"/>
    <w:pPr>
      <w:numPr>
        <w:numId w:val="10"/>
      </w:numPr>
    </w:pPr>
  </w:style>
  <w:style w:type="character" w:customStyle="1" w:styleId="WingdingSymbols">
    <w:name w:val="Wingding Symbols"/>
    <w:rsid w:val="00ED69BF"/>
    <w:rPr>
      <w:rFonts w:ascii="Wingdings" w:hAnsi="Wingdings"/>
    </w:rPr>
  </w:style>
  <w:style w:type="paragraph" w:customStyle="1" w:styleId="TableHeading">
    <w:name w:val="Table Heading"/>
    <w:basedOn w:val="HeadingBase"/>
    <w:rsid w:val="00ED69BF"/>
    <w:pPr>
      <w:keepLines/>
      <w:pBdr>
        <w:bottom w:val="single" w:sz="6" w:space="1" w:color="918585"/>
      </w:pBdr>
      <w:spacing w:before="240"/>
    </w:pPr>
  </w:style>
  <w:style w:type="character" w:customStyle="1" w:styleId="HotSpot">
    <w:name w:val="HotSpot"/>
    <w:rsid w:val="00ED69BF"/>
    <w:rPr>
      <w:color w:val="0033CC"/>
      <w:u w:val="none"/>
    </w:rPr>
  </w:style>
  <w:style w:type="paragraph" w:customStyle="1" w:styleId="BodyTextRight">
    <w:name w:val="Body Text Right"/>
    <w:basedOn w:val="BodyText"/>
    <w:rsid w:val="00ED69BF"/>
    <w:pPr>
      <w:spacing w:before="0" w:after="0"/>
      <w:jc w:val="right"/>
    </w:pPr>
  </w:style>
  <w:style w:type="paragraph" w:styleId="Index3">
    <w:name w:val="index 3"/>
    <w:basedOn w:val="ListNumber2"/>
    <w:next w:val="Normal"/>
    <w:semiHidden/>
    <w:rsid w:val="00ED69BF"/>
    <w:pPr>
      <w:numPr>
        <w:numId w:val="0"/>
      </w:numPr>
      <w:tabs>
        <w:tab w:val="right" w:leader="dot" w:pos="4176"/>
      </w:tabs>
    </w:pPr>
  </w:style>
  <w:style w:type="paragraph" w:styleId="ListNumber2">
    <w:name w:val="List Number 2"/>
    <w:basedOn w:val="List2"/>
    <w:rsid w:val="00ED69BF"/>
    <w:pPr>
      <w:numPr>
        <w:numId w:val="9"/>
      </w:numPr>
      <w:tabs>
        <w:tab w:val="clear" w:pos="1060"/>
      </w:tabs>
    </w:pPr>
  </w:style>
  <w:style w:type="paragraph" w:customStyle="1" w:styleId="MarginNote">
    <w:name w:val="Margin Note"/>
    <w:basedOn w:val="BodyText"/>
    <w:rsid w:val="00ED6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9BF"/>
    <w:rPr>
      <w:sz w:val="32"/>
    </w:rPr>
  </w:style>
  <w:style w:type="paragraph" w:customStyle="1" w:styleId="HeadingProcedure">
    <w:name w:val="Heading Procedure"/>
    <w:basedOn w:val="HeadingBase"/>
    <w:next w:val="Normal"/>
    <w:rsid w:val="00ED69BF"/>
    <w:pPr>
      <w:tabs>
        <w:tab w:val="left" w:pos="0"/>
      </w:tabs>
      <w:spacing w:before="120" w:after="60"/>
    </w:pPr>
    <w:rPr>
      <w:i/>
      <w:color w:val="918585"/>
      <w:sz w:val="22"/>
    </w:rPr>
  </w:style>
  <w:style w:type="paragraph" w:customStyle="1" w:styleId="TableBodyText">
    <w:name w:val="Table Body Text"/>
    <w:basedOn w:val="BodyText"/>
    <w:rsid w:val="00ED69BF"/>
    <w:pPr>
      <w:spacing w:before="60" w:after="60"/>
    </w:pPr>
  </w:style>
  <w:style w:type="paragraph" w:styleId="ListContinue">
    <w:name w:val="List Continue"/>
    <w:basedOn w:val="List"/>
    <w:rsid w:val="00ED69BF"/>
    <w:pPr>
      <w:ind w:firstLine="0"/>
    </w:pPr>
  </w:style>
  <w:style w:type="paragraph" w:customStyle="1" w:styleId="ListNote">
    <w:name w:val="List Note"/>
    <w:basedOn w:val="List"/>
    <w:rsid w:val="00ED69BF"/>
    <w:pPr>
      <w:pBdr>
        <w:top w:val="single" w:sz="6" w:space="2" w:color="918585"/>
        <w:bottom w:val="single" w:sz="6" w:space="2" w:color="918585"/>
      </w:pBdr>
      <w:tabs>
        <w:tab w:val="left" w:pos="1021"/>
      </w:tabs>
      <w:ind w:firstLine="0"/>
    </w:pPr>
  </w:style>
  <w:style w:type="paragraph" w:customStyle="1" w:styleId="Warning">
    <w:name w:val="Warning"/>
    <w:basedOn w:val="BodyText"/>
    <w:rsid w:val="00ED69BF"/>
    <w:pPr>
      <w:shd w:val="clear" w:color="auto" w:fill="D9D9D9"/>
      <w:tabs>
        <w:tab w:val="left" w:pos="992"/>
      </w:tabs>
      <w:ind w:left="119" w:right="119"/>
    </w:pPr>
    <w:rPr>
      <w:sz w:val="20"/>
    </w:rPr>
  </w:style>
  <w:style w:type="paragraph" w:customStyle="1" w:styleId="MarginIcons">
    <w:name w:val="Margin Icons"/>
    <w:basedOn w:val="BodyText"/>
    <w:rsid w:val="00ED6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9BF"/>
    <w:rPr>
      <w:rFonts w:ascii="Courier New" w:hAnsi="Courier New"/>
    </w:rPr>
  </w:style>
  <w:style w:type="paragraph" w:customStyle="1" w:styleId="NoteBullet">
    <w:name w:val="Note Bullet"/>
    <w:basedOn w:val="Note"/>
    <w:rsid w:val="00ED69BF"/>
    <w:pPr>
      <w:tabs>
        <w:tab w:val="clear" w:pos="680"/>
      </w:tabs>
      <w:spacing w:before="60" w:after="60"/>
    </w:pPr>
  </w:style>
  <w:style w:type="paragraph" w:customStyle="1" w:styleId="SubHeading2">
    <w:name w:val="SubHeading2"/>
    <w:basedOn w:val="HeadingBase"/>
    <w:rsid w:val="00ED69BF"/>
    <w:pPr>
      <w:spacing w:before="240" w:after="60"/>
    </w:pPr>
    <w:rPr>
      <w:sz w:val="20"/>
    </w:rPr>
  </w:style>
  <w:style w:type="paragraph" w:customStyle="1" w:styleId="SubHeading1">
    <w:name w:val="SubHeading1"/>
    <w:basedOn w:val="HeadingBase"/>
    <w:rsid w:val="00ED69BF"/>
    <w:pPr>
      <w:spacing w:before="240" w:after="60"/>
    </w:pPr>
    <w:rPr>
      <w:color w:val="918585"/>
      <w:sz w:val="22"/>
    </w:rPr>
  </w:style>
  <w:style w:type="paragraph" w:customStyle="1" w:styleId="SideHeading">
    <w:name w:val="Side Heading"/>
    <w:basedOn w:val="HeadingBase"/>
    <w:rsid w:val="00ED6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9BF"/>
    <w:pPr>
      <w:tabs>
        <w:tab w:val="num" w:pos="360"/>
      </w:tabs>
    </w:pPr>
  </w:style>
  <w:style w:type="paragraph" w:styleId="PlainText">
    <w:name w:val="Plain Text"/>
    <w:basedOn w:val="Normal"/>
    <w:link w:val="PlainTextChar"/>
    <w:rsid w:val="00ED69BF"/>
    <w:rPr>
      <w:sz w:val="20"/>
    </w:rPr>
  </w:style>
  <w:style w:type="character" w:customStyle="1" w:styleId="PlainTextChar">
    <w:name w:val="Plain Text Char"/>
    <w:basedOn w:val="DefaultParagraphFont"/>
    <w:link w:val="PlainText"/>
    <w:rsid w:val="00ED69BF"/>
    <w:rPr>
      <w:rFonts w:ascii="Courier New" w:eastAsia="Times New Roman" w:hAnsi="Courier New" w:cs="Times New Roman"/>
      <w:sz w:val="20"/>
      <w:szCs w:val="20"/>
      <w:lang w:eastAsia="en-US"/>
    </w:rPr>
  </w:style>
  <w:style w:type="character" w:customStyle="1" w:styleId="MenuOption">
    <w:name w:val="Menu Option"/>
    <w:basedOn w:val="DefaultParagraphFont"/>
    <w:rsid w:val="00ED69BF"/>
    <w:rPr>
      <w:b/>
      <w:smallCaps/>
    </w:rPr>
  </w:style>
  <w:style w:type="paragraph" w:customStyle="1" w:styleId="TableListNumber">
    <w:name w:val="Table List Number"/>
    <w:basedOn w:val="ListNumber"/>
    <w:rsid w:val="00ED69BF"/>
    <w:pPr>
      <w:numPr>
        <w:numId w:val="0"/>
      </w:numPr>
    </w:pPr>
  </w:style>
  <w:style w:type="paragraph" w:styleId="TOC4">
    <w:name w:val="toc 4"/>
    <w:basedOn w:val="TOCBase"/>
    <w:next w:val="Normal"/>
    <w:semiHidden/>
    <w:rsid w:val="00ED69BF"/>
    <w:pPr>
      <w:tabs>
        <w:tab w:val="right" w:leader="dot" w:pos="9071"/>
      </w:tabs>
      <w:ind w:left="1701"/>
    </w:pPr>
  </w:style>
  <w:style w:type="paragraph" w:customStyle="1" w:styleId="ListAlpha">
    <w:name w:val="List Alpha"/>
    <w:basedOn w:val="List"/>
    <w:rsid w:val="00ED69BF"/>
    <w:pPr>
      <w:numPr>
        <w:numId w:val="8"/>
      </w:numPr>
    </w:pPr>
  </w:style>
  <w:style w:type="paragraph" w:customStyle="1" w:styleId="ListAlpha2">
    <w:name w:val="List Alpha 2"/>
    <w:basedOn w:val="List2"/>
    <w:rsid w:val="00ED69BF"/>
    <w:pPr>
      <w:numPr>
        <w:numId w:val="7"/>
      </w:numPr>
    </w:pPr>
  </w:style>
  <w:style w:type="paragraph" w:styleId="List2">
    <w:name w:val="List 2"/>
    <w:basedOn w:val="BodyText"/>
    <w:rsid w:val="00ED69BF"/>
    <w:pPr>
      <w:tabs>
        <w:tab w:val="left" w:pos="680"/>
      </w:tabs>
      <w:spacing w:before="60" w:after="60"/>
      <w:ind w:left="680" w:hanging="340"/>
    </w:pPr>
  </w:style>
  <w:style w:type="paragraph" w:styleId="List3">
    <w:name w:val="List 3"/>
    <w:basedOn w:val="BodyText"/>
    <w:rsid w:val="00ED69BF"/>
    <w:pPr>
      <w:tabs>
        <w:tab w:val="left" w:pos="1021"/>
      </w:tabs>
      <w:spacing w:before="60" w:after="60"/>
      <w:ind w:left="1020" w:hanging="340"/>
    </w:pPr>
  </w:style>
  <w:style w:type="paragraph" w:styleId="List4">
    <w:name w:val="List 4"/>
    <w:basedOn w:val="BodyText"/>
    <w:rsid w:val="00ED69BF"/>
    <w:pPr>
      <w:tabs>
        <w:tab w:val="left" w:pos="1361"/>
      </w:tabs>
      <w:spacing w:before="60" w:after="60"/>
      <w:ind w:left="1361" w:hanging="340"/>
    </w:pPr>
  </w:style>
  <w:style w:type="paragraph" w:styleId="List5">
    <w:name w:val="List 5"/>
    <w:basedOn w:val="BodyText"/>
    <w:rsid w:val="00ED69BF"/>
    <w:pPr>
      <w:tabs>
        <w:tab w:val="left" w:pos="1701"/>
      </w:tabs>
      <w:spacing w:before="60" w:after="60"/>
      <w:ind w:left="1701" w:hanging="340"/>
    </w:pPr>
  </w:style>
  <w:style w:type="paragraph" w:styleId="ListBullet3">
    <w:name w:val="List Bullet 3"/>
    <w:basedOn w:val="List3"/>
    <w:rsid w:val="00ED69BF"/>
    <w:pPr>
      <w:numPr>
        <w:numId w:val="14"/>
      </w:numPr>
      <w:tabs>
        <w:tab w:val="clear" w:pos="1021"/>
      </w:tabs>
      <w:ind w:left="1037" w:hanging="357"/>
    </w:pPr>
  </w:style>
  <w:style w:type="paragraph" w:styleId="ListBullet4">
    <w:name w:val="List Bullet 4"/>
    <w:basedOn w:val="List4"/>
    <w:rsid w:val="00ED69BF"/>
    <w:pPr>
      <w:numPr>
        <w:numId w:val="2"/>
      </w:numPr>
      <w:tabs>
        <w:tab w:val="clear" w:pos="1361"/>
      </w:tabs>
    </w:pPr>
  </w:style>
  <w:style w:type="paragraph" w:styleId="ListBullet5">
    <w:name w:val="List Bullet 5"/>
    <w:basedOn w:val="List5"/>
    <w:rsid w:val="00ED69BF"/>
    <w:pPr>
      <w:numPr>
        <w:numId w:val="3"/>
      </w:numPr>
    </w:pPr>
  </w:style>
  <w:style w:type="paragraph" w:styleId="ListContinue2">
    <w:name w:val="List Continue 2"/>
    <w:basedOn w:val="List2"/>
    <w:rsid w:val="00ED69BF"/>
    <w:pPr>
      <w:ind w:firstLine="0"/>
    </w:pPr>
  </w:style>
  <w:style w:type="paragraph" w:styleId="ListContinue3">
    <w:name w:val="List Continue 3"/>
    <w:basedOn w:val="List3"/>
    <w:rsid w:val="00ED69BF"/>
    <w:pPr>
      <w:ind w:left="1021" w:firstLine="0"/>
    </w:pPr>
  </w:style>
  <w:style w:type="paragraph" w:styleId="ListContinue4">
    <w:name w:val="List Continue 4"/>
    <w:basedOn w:val="List4"/>
    <w:rsid w:val="00ED69BF"/>
    <w:pPr>
      <w:ind w:firstLine="0"/>
    </w:pPr>
  </w:style>
  <w:style w:type="paragraph" w:styleId="ListContinue5">
    <w:name w:val="List Continue 5"/>
    <w:basedOn w:val="List5"/>
    <w:rsid w:val="00ED69BF"/>
    <w:pPr>
      <w:ind w:firstLine="0"/>
    </w:pPr>
  </w:style>
  <w:style w:type="paragraph" w:styleId="ListNumber3">
    <w:name w:val="List Number 3"/>
    <w:basedOn w:val="List3"/>
    <w:rsid w:val="00ED69BF"/>
    <w:pPr>
      <w:numPr>
        <w:numId w:val="4"/>
      </w:numPr>
    </w:pPr>
  </w:style>
  <w:style w:type="paragraph" w:styleId="ListNumber4">
    <w:name w:val="List Number 4"/>
    <w:basedOn w:val="List4"/>
    <w:rsid w:val="00ED69BF"/>
    <w:pPr>
      <w:numPr>
        <w:numId w:val="5"/>
      </w:numPr>
    </w:pPr>
  </w:style>
  <w:style w:type="paragraph" w:styleId="ListNumber5">
    <w:name w:val="List Number 5"/>
    <w:basedOn w:val="List5"/>
    <w:rsid w:val="00ED69BF"/>
    <w:pPr>
      <w:numPr>
        <w:numId w:val="6"/>
      </w:numPr>
    </w:pPr>
  </w:style>
  <w:style w:type="paragraph" w:styleId="BlockText">
    <w:name w:val="Block Text"/>
    <w:basedOn w:val="Normal"/>
    <w:rsid w:val="00ED69BF"/>
    <w:pPr>
      <w:spacing w:after="120"/>
      <w:ind w:left="1440" w:right="1440"/>
    </w:pPr>
  </w:style>
  <w:style w:type="character" w:customStyle="1" w:styleId="Subscript">
    <w:name w:val="Subscript"/>
    <w:basedOn w:val="DefaultParagraphFont"/>
    <w:rsid w:val="00ED69BF"/>
    <w:rPr>
      <w:sz w:val="16"/>
      <w:vertAlign w:val="subscript"/>
    </w:rPr>
  </w:style>
  <w:style w:type="character" w:customStyle="1" w:styleId="Superscript">
    <w:name w:val="Superscript"/>
    <w:basedOn w:val="DefaultParagraphFont"/>
    <w:rsid w:val="00ED69BF"/>
    <w:rPr>
      <w:sz w:val="16"/>
      <w:vertAlign w:val="superscript"/>
    </w:rPr>
  </w:style>
  <w:style w:type="character" w:customStyle="1" w:styleId="Symbols">
    <w:name w:val="Symbols"/>
    <w:basedOn w:val="DefaultParagraphFont"/>
    <w:rsid w:val="00ED69BF"/>
    <w:rPr>
      <w:rFonts w:ascii="Symbol" w:hAnsi="Symbol"/>
    </w:rPr>
  </w:style>
  <w:style w:type="character" w:customStyle="1" w:styleId="MenuOptions">
    <w:name w:val="Menu Options"/>
    <w:basedOn w:val="DefaultParagraphFont"/>
    <w:rsid w:val="00ED69BF"/>
    <w:rPr>
      <w:rFonts w:ascii="Arial Narrow" w:hAnsi="Arial Narrow"/>
      <w:smallCaps/>
    </w:rPr>
  </w:style>
  <w:style w:type="character" w:customStyle="1" w:styleId="Buttons">
    <w:name w:val="Buttons"/>
    <w:basedOn w:val="DefaultParagraphFont"/>
    <w:rsid w:val="00ED69BF"/>
    <w:rPr>
      <w:b/>
    </w:rPr>
  </w:style>
  <w:style w:type="character" w:customStyle="1" w:styleId="Underlined">
    <w:name w:val="Underlined"/>
    <w:basedOn w:val="DefaultParagraphFont"/>
    <w:rsid w:val="00ED69BF"/>
    <w:rPr>
      <w:u w:val="single"/>
    </w:rPr>
  </w:style>
  <w:style w:type="paragraph" w:customStyle="1" w:styleId="TableBodyTextRight">
    <w:name w:val="Table Body Text Right"/>
    <w:basedOn w:val="TableBodyText"/>
    <w:rsid w:val="00ED69BF"/>
    <w:pPr>
      <w:widowControl w:val="0"/>
      <w:autoSpaceDE w:val="0"/>
      <w:autoSpaceDN w:val="0"/>
      <w:adjustRightInd w:val="0"/>
      <w:jc w:val="right"/>
    </w:pPr>
    <w:rPr>
      <w:rFonts w:cs="Arial"/>
      <w:szCs w:val="18"/>
    </w:rPr>
  </w:style>
  <w:style w:type="paragraph" w:customStyle="1" w:styleId="CopyrightText">
    <w:name w:val="Copyright Text"/>
    <w:basedOn w:val="BodyText"/>
    <w:rsid w:val="00ED69BF"/>
    <w:rPr>
      <w:sz w:val="18"/>
    </w:rPr>
  </w:style>
  <w:style w:type="paragraph" w:customStyle="1" w:styleId="BodySmallRight">
    <w:name w:val="Body Small Right"/>
    <w:basedOn w:val="BodyTextRight"/>
    <w:rsid w:val="00ED69BF"/>
    <w:rPr>
      <w:sz w:val="18"/>
      <w:szCs w:val="18"/>
    </w:rPr>
  </w:style>
  <w:style w:type="paragraph" w:customStyle="1" w:styleId="MarginEdition">
    <w:name w:val="Margin Edition"/>
    <w:basedOn w:val="MarginNote"/>
    <w:rsid w:val="00ED69BF"/>
    <w:pPr>
      <w:spacing w:before="0" w:after="0"/>
    </w:pPr>
    <w:rPr>
      <w:rFonts w:ascii="Times New Roman" w:hAnsi="Times New Roman"/>
      <w:color w:val="999999"/>
    </w:rPr>
  </w:style>
  <w:style w:type="paragraph" w:customStyle="1" w:styleId="Spacer">
    <w:name w:val="Spacer"/>
    <w:basedOn w:val="Normal"/>
    <w:rsid w:val="00ED69BF"/>
    <w:rPr>
      <w:sz w:val="2"/>
      <w:szCs w:val="2"/>
    </w:rPr>
  </w:style>
  <w:style w:type="character" w:customStyle="1" w:styleId="Small">
    <w:name w:val="Small"/>
    <w:basedOn w:val="DefaultParagraphFont"/>
    <w:rsid w:val="00ED69BF"/>
    <w:rPr>
      <w:sz w:val="16"/>
    </w:rPr>
  </w:style>
  <w:style w:type="paragraph" w:customStyle="1" w:styleId="WideTable">
    <w:name w:val="Wide Table"/>
    <w:basedOn w:val="Normal"/>
    <w:rsid w:val="00ED69BF"/>
    <w:pPr>
      <w:ind w:left="-1418"/>
    </w:pPr>
    <w:rPr>
      <w:sz w:val="2"/>
      <w:szCs w:val="2"/>
    </w:rPr>
  </w:style>
  <w:style w:type="character" w:styleId="PageNumber">
    <w:name w:val="page number"/>
    <w:basedOn w:val="DefaultParagraphFont"/>
    <w:rsid w:val="00ED69BF"/>
  </w:style>
  <w:style w:type="paragraph" w:styleId="Quote">
    <w:name w:val="Quote"/>
    <w:basedOn w:val="Heading1"/>
    <w:link w:val="QuoteChar"/>
    <w:qFormat/>
    <w:rsid w:val="00ED69BF"/>
    <w:rPr>
      <w:b w:val="0"/>
      <w:sz w:val="72"/>
      <w:szCs w:val="72"/>
      <w:lang w:val="en-NZ"/>
    </w:rPr>
  </w:style>
  <w:style w:type="character" w:customStyle="1" w:styleId="QuoteChar">
    <w:name w:val="Quote Char"/>
    <w:basedOn w:val="DefaultParagraphFont"/>
    <w:link w:val="Quote"/>
    <w:rsid w:val="00ED6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9BF"/>
    <w:pPr>
      <w:pageBreakBefore/>
    </w:pPr>
  </w:style>
  <w:style w:type="paragraph" w:customStyle="1" w:styleId="Border">
    <w:name w:val="Border"/>
    <w:basedOn w:val="Normal"/>
    <w:qFormat/>
    <w:rsid w:val="00ED6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9BF"/>
    <w:rPr>
      <w:b/>
      <w:bCs/>
      <w:i/>
      <w:iCs/>
      <w:color w:val="auto"/>
    </w:rPr>
  </w:style>
  <w:style w:type="paragraph" w:styleId="IntenseQuote">
    <w:name w:val="Intense Quote"/>
    <w:basedOn w:val="Normal"/>
    <w:next w:val="Normal"/>
    <w:link w:val="IntenseQuoteChar"/>
    <w:uiPriority w:val="30"/>
    <w:qFormat/>
    <w:rsid w:val="00ED6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9BF"/>
    <w:rPr>
      <w:smallCaps/>
      <w:color w:val="auto"/>
      <w:u w:val="single"/>
    </w:rPr>
  </w:style>
  <w:style w:type="character" w:styleId="IntenseReference">
    <w:name w:val="Intense Reference"/>
    <w:basedOn w:val="DefaultParagraphFont"/>
    <w:uiPriority w:val="32"/>
    <w:qFormat/>
    <w:rsid w:val="00ED69BF"/>
    <w:rPr>
      <w:b/>
      <w:bCs/>
      <w:smallCaps/>
      <w:color w:val="auto"/>
      <w:spacing w:val="5"/>
      <w:u w:val="single"/>
    </w:rPr>
  </w:style>
  <w:style w:type="paragraph" w:customStyle="1" w:styleId="2ColumnHeading">
    <w:name w:val="2Column Heading"/>
    <w:basedOn w:val="BodyText"/>
    <w:qFormat/>
    <w:rsid w:val="00ED69BF"/>
    <w:pPr>
      <w:spacing w:after="60"/>
      <w:ind w:left="-2268"/>
    </w:pPr>
    <w:rPr>
      <w:b/>
    </w:rPr>
  </w:style>
  <w:style w:type="paragraph" w:customStyle="1" w:styleId="Heading1TOC">
    <w:name w:val="Heading1 TOC"/>
    <w:basedOn w:val="Normal"/>
    <w:qFormat/>
    <w:rsid w:val="00ED69BF"/>
    <w:pPr>
      <w:spacing w:before="240" w:after="120"/>
    </w:pPr>
    <w:rPr>
      <w:rFonts w:ascii="Times New Roman" w:hAnsi="Times New Roman"/>
      <w:b/>
      <w:sz w:val="32"/>
    </w:rPr>
  </w:style>
  <w:style w:type="paragraph" w:customStyle="1" w:styleId="Heading2TOC">
    <w:name w:val="Heading2 TOC"/>
    <w:basedOn w:val="Normal"/>
    <w:qFormat/>
    <w:rsid w:val="00ED69BF"/>
    <w:pPr>
      <w:spacing w:before="240" w:after="60"/>
    </w:pPr>
    <w:rPr>
      <w:rFonts w:ascii="Times New Roman" w:hAnsi="Times New Roman"/>
      <w:b/>
      <w:sz w:val="28"/>
    </w:rPr>
  </w:style>
  <w:style w:type="character" w:customStyle="1" w:styleId="Underline">
    <w:name w:val="Underline"/>
    <w:basedOn w:val="DefaultParagraphFont"/>
    <w:qFormat/>
    <w:rsid w:val="00ED69BF"/>
    <w:rPr>
      <w:u w:val="single"/>
    </w:rPr>
  </w:style>
  <w:style w:type="character" w:customStyle="1" w:styleId="BoldandItalics">
    <w:name w:val="Bold and Italics"/>
    <w:qFormat/>
    <w:rsid w:val="00ED69BF"/>
    <w:rPr>
      <w:b/>
      <w:i/>
      <w:u w:val="none"/>
    </w:rPr>
  </w:style>
  <w:style w:type="paragraph" w:styleId="BalloonText">
    <w:name w:val="Balloon Text"/>
    <w:basedOn w:val="Normal"/>
    <w:link w:val="BalloonTextChar"/>
    <w:rsid w:val="00ED69BF"/>
    <w:rPr>
      <w:rFonts w:ascii="Tahoma" w:hAnsi="Tahoma" w:cs="Tahoma"/>
      <w:sz w:val="16"/>
      <w:szCs w:val="16"/>
    </w:rPr>
  </w:style>
  <w:style w:type="character" w:customStyle="1" w:styleId="BalloonTextChar">
    <w:name w:val="Balloon Text Char"/>
    <w:basedOn w:val="DefaultParagraphFont"/>
    <w:link w:val="BalloonText"/>
    <w:rsid w:val="00ED6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9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9BF"/>
    <w:rPr>
      <w:b/>
      <w:color w:val="660033"/>
      <w:spacing w:val="0"/>
    </w:rPr>
  </w:style>
  <w:style w:type="paragraph" w:customStyle="1" w:styleId="Nameditemlist">
    <w:name w:val="Named item list"/>
    <w:basedOn w:val="BodyText"/>
    <w:qFormat/>
    <w:rsid w:val="00ED69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4907</Characters>
  <Application>Microsoft Office Word</Application>
  <DocSecurity>0</DocSecurity>
  <Lines>216</Lines>
  <Paragraphs>113</Paragraphs>
  <ScaleCrop>false</ScaleCrop>
  <Company>Author-it Software Corporation Ltd.</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PMBTECH501 Analyse equipment performance</dc:title>
  <dc:subject>Approved</dc:subject>
  <dc:creator>Manufacturing Skills Australia</dc:creator>
  <cp:keywords>Release: 1</cp:keywords>
  <dc:description>Review Date: 12 April 2008</dc:description>
  <cp:lastModifiedBy>TPCMS</cp:lastModifiedBy>
  <cp:revision>3</cp:revision>
  <dcterms:created xsi:type="dcterms:W3CDTF">2016-06-22T08:05:00Z</dcterms:created>
  <dcterms:modified xsi:type="dcterms:W3CDTF">2016-06-22T08:05:00Z</dcterms:modified>
</cp:coreProperties>
</file>