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5CA" w:rsidP="00564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PMBTECH406E Diagnose production equipment problems</w:t>
      </w:r>
      <w:r>
        <w:fldChar w:fldCharType="end"/>
      </w:r>
    </w:p>
    <w:p w:rsidR="005645CA" w:rsidP="005645CA">
      <w:pPr>
        <w:pStyle w:val="Version"/>
        <w:sectPr w:rsidSect="00163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9F0" w:rsidP="001639F0">
      <w:pPr>
        <w:pStyle w:val="SuperHeading"/>
      </w:pPr>
      <w:r w:rsidRPr="001639F0">
        <w:t>PMBTECH406E Diagnose production equipment problems</w:t>
      </w:r>
    </w:p>
    <w:p w:rsidR="00000000" w:rsidRPr="001639F0" w:rsidP="001639F0">
      <w:pPr>
        <w:pStyle w:val="Heading1"/>
      </w:pPr>
      <w:bookmarkStart w:id="1" w:name="O_1115882"/>
      <w:bookmarkEnd w:id="1"/>
      <w:r w:rsidRPr="001639F0">
        <w:t>Modification History</w:t>
      </w:r>
    </w:p>
    <w:p w:rsidR="00000000" w:rsidRPr="001639F0" w:rsidP="005645CA">
      <w:pPr>
        <w:pStyle w:val="BodyText"/>
      </w:pPr>
      <w:r w:rsidRPr="001639F0">
        <w:t>Release 1. Unit code. Application changed. Elements and Performance Criteria changed. Range of Conditions removed. Assessment Requirements changed. Supersedes and is equivalent to PMBTECH406 Diagnose production equipment probl</w:t>
      </w:r>
      <w:r w:rsidRPr="001639F0">
        <w:t>ems.</w:t>
      </w:r>
    </w:p>
    <w:p w:rsidR="00000000" w:rsidRPr="001639F0" w:rsidP="001639F0">
      <w:pPr>
        <w:pStyle w:val="Heading1"/>
      </w:pPr>
      <w:bookmarkStart w:id="2" w:name="O_1115883"/>
      <w:bookmarkEnd w:id="2"/>
      <w:r w:rsidRPr="001639F0">
        <w:t>Application</w:t>
      </w:r>
    </w:p>
    <w:p w:rsidR="00000000" w:rsidRPr="001639F0" w:rsidP="005645CA">
      <w:pPr>
        <w:pStyle w:val="BodyText"/>
      </w:pPr>
      <w:r w:rsidRPr="001639F0">
        <w:t xml:space="preserve">This unit covers the skills and knowledge required to assess production equipment output and diagnose the causes of product output variances. </w:t>
      </w:r>
    </w:p>
    <w:p w:rsidR="00000000" w:rsidRPr="001639F0" w:rsidP="005645CA">
      <w:pPr>
        <w:pStyle w:val="BodyText"/>
      </w:pPr>
      <w:r w:rsidRPr="001639F0">
        <w:t xml:space="preserve">This unit applies to an experienced technician working alone or as part of a </w:t>
      </w:r>
      <w:r w:rsidRPr="001639F0">
        <w:t>team.</w:t>
      </w:r>
    </w:p>
    <w:p w:rsidR="00000000" w:rsidRPr="001639F0" w:rsidP="005645CA">
      <w:pPr>
        <w:pStyle w:val="BodyText"/>
      </w:pPr>
      <w:r w:rsidRPr="001639F0">
        <w:t xml:space="preserve">The unit principally refers to the competency requirements for formal diagnostic skills and knowledge required by dedicated production process and machine operators or technicians, and those supporting specialist technicians. </w:t>
      </w:r>
    </w:p>
    <w:p w:rsidR="00000000" w:rsidRPr="001639F0" w:rsidP="005645CA">
      <w:pPr>
        <w:pStyle w:val="BodyText"/>
      </w:pPr>
      <w:r w:rsidRPr="001639F0">
        <w:t>No licensing or certifi</w:t>
      </w:r>
      <w:r w:rsidRPr="001639F0">
        <w:t>cation requirements exist at the time of publication. Relevant legislation, industry standards and codes of practice within Australia must be applied.</w:t>
      </w:r>
    </w:p>
    <w:p w:rsidR="00000000" w:rsidRPr="001639F0" w:rsidP="001639F0">
      <w:pPr>
        <w:pStyle w:val="Heading1"/>
      </w:pPr>
      <w:bookmarkStart w:id="3" w:name="O_1115884"/>
      <w:bookmarkEnd w:id="3"/>
      <w:r w:rsidRPr="001639F0">
        <w:t>Pre-requisite Unit</w:t>
      </w:r>
    </w:p>
    <w:p w:rsidR="00000000" w:rsidRPr="001639F0" w:rsidP="005645CA">
      <w:pPr>
        <w:pStyle w:val="BodyText"/>
      </w:pPr>
      <w:r w:rsidRPr="001639F0">
        <w:t>Nil.</w:t>
      </w:r>
    </w:p>
    <w:p w:rsidR="00000000" w:rsidRPr="001639F0" w:rsidP="001639F0">
      <w:pPr>
        <w:pStyle w:val="Heading1"/>
      </w:pPr>
      <w:bookmarkStart w:id="4" w:name="O_1115885"/>
      <w:bookmarkEnd w:id="4"/>
      <w:r w:rsidRPr="001639F0">
        <w:t>Competency Field</w:t>
      </w:r>
    </w:p>
    <w:p w:rsidR="00000000" w:rsidRPr="001639F0" w:rsidP="005645CA">
      <w:pPr>
        <w:pStyle w:val="BodyText"/>
      </w:pPr>
      <w:r w:rsidRPr="001639F0">
        <w:t>Technical</w:t>
      </w:r>
    </w:p>
    <w:p w:rsidR="00000000" w:rsidRPr="001639F0" w:rsidP="001639F0">
      <w:pPr>
        <w:pStyle w:val="Heading1"/>
      </w:pPr>
      <w:bookmarkStart w:id="5" w:name="O_1115887"/>
      <w:bookmarkEnd w:id="5"/>
      <w:r w:rsidRPr="001639F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639F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F0" w:rsidP="001639F0">
            <w:pPr>
              <w:pStyle w:val="BodyText"/>
            </w:pPr>
            <w:r w:rsidRPr="001639F0">
              <w:rPr>
                <w:rStyle w:val="SpecialBold"/>
              </w:rPr>
              <w:t>Elements</w:t>
            </w:r>
          </w:p>
          <w:p w:rsidR="00000000" w:rsidRPr="001639F0" w:rsidP="001639F0">
            <w:pPr>
              <w:pStyle w:val="BodyText"/>
            </w:pPr>
            <w:r w:rsidRPr="001639F0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F0" w:rsidP="001639F0">
            <w:pPr>
              <w:pStyle w:val="BodyText"/>
            </w:pPr>
            <w:r w:rsidRPr="001639F0">
              <w:rPr>
                <w:rStyle w:val="SpecialBold"/>
              </w:rPr>
              <w:t>Performance Criteria</w:t>
            </w:r>
          </w:p>
          <w:p w:rsidR="00000000" w:rsidP="001639F0">
            <w:pPr>
              <w:pStyle w:val="BodyText"/>
              <w:rPr>
                <w:lang w:val="en-NZ"/>
              </w:rPr>
            </w:pPr>
            <w:r w:rsidRPr="001639F0">
              <w:t>Performance criteria describe the performance needed to demonstrate achievement of the element.</w:t>
            </w:r>
          </w:p>
        </w:tc>
      </w:tr>
      <w:tr w:rsidTr="001639F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F0">
            <w:pPr>
              <w:pStyle w:val="BodyText"/>
              <w:rPr>
                <w:lang w:val="en-NZ"/>
              </w:rPr>
            </w:pPr>
            <w:r w:rsidRPr="001639F0">
              <w:t>1. Identify variance in product and associated production output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F0" w:rsidP="001639F0">
            <w:pPr>
              <w:pStyle w:val="BodyText"/>
            </w:pPr>
            <w:r w:rsidRPr="001639F0">
              <w:t>1.1 Examine product and associated production output for variance against job and equipment specifications</w:t>
            </w:r>
          </w:p>
          <w:p w:rsidR="00000000" w:rsidP="001639F0">
            <w:pPr>
              <w:pStyle w:val="BodyText"/>
              <w:rPr>
                <w:lang w:val="en-NZ"/>
              </w:rPr>
            </w:pPr>
            <w:r w:rsidRPr="001639F0">
              <w:t>1.2 Categorise identified variance by type and prioritise it for action</w:t>
            </w:r>
          </w:p>
        </w:tc>
      </w:tr>
      <w:tr w:rsidTr="001639F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F0">
            <w:pPr>
              <w:pStyle w:val="BodyText"/>
              <w:rPr>
                <w:lang w:val="en-NZ"/>
              </w:rPr>
            </w:pPr>
            <w:r w:rsidRPr="001639F0">
              <w:t>2. Determin</w:t>
            </w:r>
            <w:r w:rsidRPr="001639F0">
              <w:t>e most probable possible cause(s) of variance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F0" w:rsidP="001639F0">
            <w:pPr>
              <w:pStyle w:val="BodyText"/>
            </w:pPr>
            <w:r w:rsidRPr="001639F0">
              <w:t xml:space="preserve">2.1 Analyse variance to determine possible causes </w:t>
            </w:r>
          </w:p>
          <w:p w:rsidR="00000000" w:rsidRPr="001639F0" w:rsidP="001639F0">
            <w:pPr>
              <w:pStyle w:val="BodyText"/>
            </w:pPr>
            <w:r w:rsidRPr="001639F0">
              <w:t>2.2 Examine possible causes to prioritise more likely ones for further investigation</w:t>
            </w:r>
          </w:p>
          <w:p w:rsidR="00000000" w:rsidRPr="001639F0" w:rsidP="001639F0">
            <w:pPr>
              <w:pStyle w:val="BodyText"/>
            </w:pPr>
            <w:r w:rsidRPr="001639F0">
              <w:t xml:space="preserve">2.3 Compare hypotheses of variance with available data to support </w:t>
            </w:r>
            <w:r w:rsidRPr="001639F0">
              <w:t>diagnosi</w:t>
            </w:r>
            <w:r w:rsidRPr="001639F0">
              <w:t>s</w:t>
            </w:r>
          </w:p>
          <w:p w:rsidR="00000000" w:rsidP="001639F0">
            <w:pPr>
              <w:pStyle w:val="BodyText"/>
              <w:rPr>
                <w:lang w:val="en-NZ"/>
              </w:rPr>
            </w:pPr>
            <w:r w:rsidRPr="001639F0">
              <w:t xml:space="preserve">2.4 Identify most probable cause for further action </w:t>
            </w:r>
          </w:p>
        </w:tc>
      </w:tr>
      <w:tr w:rsidTr="001639F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F0">
            <w:pPr>
              <w:pStyle w:val="BodyText"/>
              <w:rPr>
                <w:lang w:val="en-NZ"/>
              </w:rPr>
            </w:pPr>
            <w:r w:rsidRPr="001639F0">
              <w:t>3. Develop and implement solution to rectify variance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F0" w:rsidP="001639F0">
            <w:pPr>
              <w:pStyle w:val="BodyText"/>
            </w:pPr>
            <w:r w:rsidRPr="001639F0">
              <w:t>3.1 Develop solution for recommendation to rectify variance that considers work health and safety implications and established workplace procedure</w:t>
            </w:r>
            <w:r w:rsidRPr="001639F0">
              <w:t>s</w:t>
            </w:r>
          </w:p>
          <w:p w:rsidR="00000000" w:rsidRPr="001639F0" w:rsidP="001639F0">
            <w:pPr>
              <w:pStyle w:val="BodyText"/>
            </w:pPr>
            <w:r w:rsidRPr="001639F0">
              <w:t>3.2 Use appropriate techniques to communicate recommendation and verify understanding</w:t>
            </w:r>
          </w:p>
          <w:p w:rsidR="00000000" w:rsidRPr="001639F0" w:rsidP="001639F0">
            <w:pPr>
              <w:pStyle w:val="BodyText"/>
            </w:pPr>
            <w:r w:rsidRPr="001639F0">
              <w:t>3.3 Seek support from relevant stakeholders for recommendation</w:t>
            </w:r>
          </w:p>
          <w:p w:rsidR="00000000" w:rsidRPr="001639F0" w:rsidP="001639F0">
            <w:pPr>
              <w:pStyle w:val="BodyText"/>
            </w:pPr>
            <w:r w:rsidRPr="001639F0">
              <w:t>3.4 Identify potential hazards and ensure controls are in place</w:t>
            </w:r>
          </w:p>
          <w:p w:rsidR="00000000" w:rsidP="001639F0">
            <w:pPr>
              <w:pStyle w:val="BodyText"/>
              <w:rPr>
                <w:lang w:val="en-NZ"/>
              </w:rPr>
            </w:pPr>
            <w:r w:rsidRPr="001639F0">
              <w:t>3.5 Implement agreed solution and monitor</w:t>
            </w:r>
            <w:r w:rsidRPr="001639F0">
              <w:t xml:space="preserve"> initial progress to ensure resolution is achieved</w:t>
            </w:r>
          </w:p>
        </w:tc>
      </w:tr>
      <w:tr w:rsidTr="001639F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9F0">
            <w:pPr>
              <w:pStyle w:val="BodyText"/>
              <w:rPr>
                <w:lang w:val="en-NZ"/>
              </w:rPr>
            </w:pPr>
            <w:r w:rsidRPr="001639F0">
              <w:t>4. Check success of variance solution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9F0" w:rsidP="001639F0">
            <w:pPr>
              <w:pStyle w:val="BodyText"/>
            </w:pPr>
            <w:r w:rsidRPr="001639F0">
              <w:t xml:space="preserve">4.1 Monitor ongoing success of solution to product or production output variance </w:t>
            </w:r>
          </w:p>
          <w:p w:rsidR="00000000" w:rsidRPr="001639F0" w:rsidP="001639F0">
            <w:pPr>
              <w:pStyle w:val="BodyText"/>
            </w:pPr>
            <w:r w:rsidRPr="001639F0">
              <w:t>4.2 Monitor work health and safety and other workplace impacts of solution</w:t>
            </w:r>
          </w:p>
          <w:p w:rsidR="00000000" w:rsidRPr="001639F0" w:rsidP="001639F0">
            <w:pPr>
              <w:pStyle w:val="BodyText"/>
            </w:pPr>
            <w:r w:rsidRPr="001639F0">
              <w:t>4.3 Update workplace records and procedures to reflect solution</w:t>
            </w:r>
          </w:p>
        </w:tc>
      </w:tr>
    </w:tbl>
    <w:p w:rsidR="00000000" w:rsidRPr="001639F0" w:rsidP="001639F0">
      <w:pPr>
        <w:pStyle w:val="BodyText"/>
      </w:pPr>
    </w:p>
    <w:p w:rsidR="00000000" w:rsidRPr="001639F0" w:rsidP="001639F0">
      <w:pPr>
        <w:pStyle w:val="AllowPageBreak"/>
      </w:pPr>
    </w:p>
    <w:p w:rsidR="00000000" w:rsidRPr="001639F0" w:rsidP="001639F0">
      <w:pPr>
        <w:pStyle w:val="Heading1"/>
      </w:pPr>
      <w:bookmarkStart w:id="6" w:name="O_1115888"/>
      <w:bookmarkEnd w:id="6"/>
      <w:r w:rsidRPr="001639F0">
        <w:t>Foundation Skills</w:t>
      </w:r>
    </w:p>
    <w:p w:rsidR="00000000" w:rsidRPr="001639F0" w:rsidP="005645CA">
      <w:pPr>
        <w:pStyle w:val="BodyText"/>
      </w:pPr>
      <w:r w:rsidRPr="001639F0">
        <w:t xml:space="preserve">This section describes those language, literacy, numeracy and employment skills that are essential to performance. </w:t>
      </w:r>
    </w:p>
    <w:p w:rsidR="00000000" w:rsidRPr="001639F0" w:rsidP="001639F0">
      <w:pPr>
        <w:pStyle w:val="ListBullet"/>
      </w:pPr>
      <w:r w:rsidRPr="001639F0">
        <w:t>Numeracy skills to measure and quant</w:t>
      </w:r>
      <w:r w:rsidRPr="001639F0">
        <w:t>ify variances and their impacts.</w:t>
      </w:r>
    </w:p>
    <w:p w:rsidR="00000000" w:rsidRPr="001639F0" w:rsidP="001639F0">
      <w:pPr>
        <w:pStyle w:val="ListBullet"/>
      </w:pPr>
      <w:r w:rsidRPr="001639F0">
        <w:t>Reading skills to interpret job and equipment specifications for comparison with product outcomes.</w:t>
      </w:r>
    </w:p>
    <w:p w:rsidR="00000000" w:rsidRPr="001639F0" w:rsidP="001639F0">
      <w:pPr>
        <w:pStyle w:val="ListBullet"/>
      </w:pPr>
      <w:r w:rsidRPr="001639F0">
        <w:t>Writing and oral communication skills to record and report variances and their solutions to stakeholders, and document proce</w:t>
      </w:r>
      <w:r w:rsidRPr="001639F0">
        <w:t>dural updates and records.</w:t>
      </w:r>
    </w:p>
    <w:p w:rsidR="00000000" w:rsidRPr="005645CA" w:rsidP="005645CA">
      <w:pPr>
        <w:pStyle w:val="BodyText"/>
        <w:rPr>
          <w:i/>
        </w:rPr>
      </w:pPr>
      <w:r w:rsidRPr="005645CA">
        <w:rPr>
          <w:rStyle w:val="Emphasis"/>
        </w:rPr>
        <w:t>Other foundation skills essential to performance are explicit in the performance criteria of this unit of competency.</w:t>
      </w:r>
    </w:p>
    <w:p w:rsidR="00000000" w:rsidRPr="001639F0" w:rsidP="001639F0">
      <w:pPr>
        <w:pStyle w:val="Heading1"/>
      </w:pPr>
      <w:bookmarkStart w:id="7" w:name="O_1115890"/>
      <w:bookmarkEnd w:id="7"/>
      <w:r w:rsidRPr="001639F0">
        <w:t>Unit Mapping Information</w:t>
      </w:r>
    </w:p>
    <w:p w:rsidR="00000000" w:rsidRPr="001639F0" w:rsidP="005645CA">
      <w:pPr>
        <w:pStyle w:val="BodyText"/>
      </w:pPr>
      <w:r w:rsidRPr="001639F0">
        <w:t>Supersedes and is equivalent to PMBTECH406 Diagnose production equipment problems.</w:t>
      </w:r>
    </w:p>
    <w:p w:rsidR="00000000" w:rsidRPr="001639F0" w:rsidP="001639F0">
      <w:pPr>
        <w:pStyle w:val="Heading1"/>
      </w:pPr>
      <w:bookmarkStart w:id="8" w:name="O_1115897"/>
      <w:bookmarkEnd w:id="8"/>
      <w:r w:rsidRPr="001639F0">
        <w:t>Links</w:t>
      </w:r>
    </w:p>
    <w:p w:rsidR="00000000" w:rsidRPr="001639F0" w:rsidP="005645CA">
      <w:pPr>
        <w:pStyle w:val="BodyText"/>
      </w:pPr>
      <w:r w:rsidRPr="001639F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744A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639F0" w:rsidP="005645CA">
      <w:pPr>
        <w:pStyle w:val="BodyText"/>
        <w:sectPr w:rsidSect="001639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39F0" w:rsidP="001639F0">
      <w:pPr>
        <w:pStyle w:val="SuperHeading"/>
      </w:pPr>
      <w:r w:rsidRPr="001639F0">
        <w:t>Assessment Requirements for PMBTECH406E Diagnose production equipment problems</w:t>
      </w:r>
    </w:p>
    <w:p w:rsidR="00000000" w:rsidRPr="001639F0" w:rsidP="001639F0">
      <w:pPr>
        <w:pStyle w:val="Heading1"/>
      </w:pPr>
      <w:bookmarkStart w:id="9" w:name="O_1115892"/>
      <w:bookmarkEnd w:id="9"/>
      <w:r w:rsidRPr="001639F0">
        <w:t>Modification History</w:t>
      </w:r>
    </w:p>
    <w:p w:rsidR="00000000" w:rsidRPr="001639F0" w:rsidP="005645CA">
      <w:pPr>
        <w:pStyle w:val="BodyText"/>
      </w:pPr>
      <w:r w:rsidRPr="001639F0">
        <w:t>Release 1. Unit code. Application changed. Elements and Performance Criteria changed. Range</w:t>
      </w:r>
      <w:r w:rsidRPr="001639F0">
        <w:t xml:space="preserve"> of Conditions removed. Assessment Requirements changed. Supersedes and is equivalent to PMBTECH406 Diagnose production equipment problems.</w:t>
      </w:r>
    </w:p>
    <w:p w:rsidR="00000000" w:rsidRPr="001639F0" w:rsidP="001639F0">
      <w:pPr>
        <w:pStyle w:val="Heading1"/>
      </w:pPr>
      <w:bookmarkStart w:id="10" w:name="O_1115893"/>
      <w:bookmarkEnd w:id="10"/>
      <w:r w:rsidRPr="001639F0">
        <w:t>Performance Evidence</w:t>
      </w:r>
    </w:p>
    <w:p w:rsidR="00000000" w:rsidRPr="001639F0" w:rsidP="005645CA">
      <w:pPr>
        <w:pStyle w:val="BodyText"/>
      </w:pPr>
      <w:r w:rsidRPr="001639F0">
        <w:t>There must be evidence the candidate has completed the tasks outlined in the</w:t>
      </w:r>
      <w:r w:rsidRPr="001639F0">
        <w:t xml:space="preserve"> elements and performance criteria of this unit competency, and demonstrated the ability to:</w:t>
      </w:r>
    </w:p>
    <w:p w:rsidR="00000000" w:rsidRPr="001639F0" w:rsidP="001639F0">
      <w:pPr>
        <w:pStyle w:val="ListBullet"/>
      </w:pPr>
      <w:r w:rsidRPr="001639F0">
        <w:t>diagnose and rectify product equipment problems at least once, to meet job specifications, including:</w:t>
      </w:r>
    </w:p>
    <w:p w:rsidR="00000000" w:rsidRPr="001639F0" w:rsidP="001639F0">
      <w:pPr>
        <w:pStyle w:val="ListBullet2"/>
      </w:pPr>
      <w:r w:rsidRPr="001639F0">
        <w:t>examination of products and processes to identify variances</w:t>
      </w:r>
      <w:r w:rsidRPr="001639F0">
        <w:t xml:space="preserve"> using:</w:t>
      </w:r>
    </w:p>
    <w:p w:rsidR="00000000" w:rsidRPr="001639F0" w:rsidP="001639F0">
      <w:pPr>
        <w:pStyle w:val="ListBullet3"/>
      </w:pPr>
      <w:r w:rsidRPr="001639F0">
        <w:t>visual examination</w:t>
      </w:r>
    </w:p>
    <w:p w:rsidR="00000000" w:rsidRPr="001639F0" w:rsidP="001639F0">
      <w:pPr>
        <w:pStyle w:val="ListBullet3"/>
      </w:pPr>
      <w:r w:rsidRPr="001639F0">
        <w:t>examination of product quality or other records</w:t>
      </w:r>
    </w:p>
    <w:p w:rsidR="00000000" w:rsidRPr="001639F0" w:rsidP="001639F0">
      <w:pPr>
        <w:pStyle w:val="ListBullet3"/>
      </w:pPr>
      <w:r w:rsidRPr="001639F0">
        <w:t xml:space="preserve">examination of inspection records </w:t>
      </w:r>
    </w:p>
    <w:p w:rsidR="00000000" w:rsidRPr="001639F0" w:rsidP="001639F0">
      <w:pPr>
        <w:pStyle w:val="ListBullet3"/>
      </w:pPr>
      <w:r w:rsidRPr="001639F0">
        <w:t xml:space="preserve">examination of test results </w:t>
      </w:r>
    </w:p>
    <w:p w:rsidR="00000000" w:rsidRPr="001639F0" w:rsidP="001639F0">
      <w:pPr>
        <w:pStyle w:val="ListBullet3"/>
      </w:pPr>
      <w:r w:rsidRPr="001639F0">
        <w:t>specific examination testing undertaken as part of a product improvement activity.</w:t>
      </w:r>
    </w:p>
    <w:p w:rsidR="00000000" w:rsidRPr="001639F0" w:rsidP="001639F0">
      <w:pPr>
        <w:pStyle w:val="AllowPageBreak"/>
      </w:pPr>
    </w:p>
    <w:p w:rsidR="00000000" w:rsidRPr="001639F0" w:rsidP="001639F0">
      <w:pPr>
        <w:pStyle w:val="Heading1"/>
      </w:pPr>
      <w:bookmarkStart w:id="11" w:name="O_1115894"/>
      <w:bookmarkEnd w:id="11"/>
      <w:r w:rsidRPr="001639F0">
        <w:t>Knowledge Evidence</w:t>
      </w:r>
    </w:p>
    <w:p w:rsidR="00000000" w:rsidRPr="001639F0" w:rsidP="005645CA">
      <w:pPr>
        <w:pStyle w:val="BodyText"/>
      </w:pPr>
      <w:r w:rsidRPr="001639F0">
        <w:t>There must be evidence the candidate has knowledge of:</w:t>
      </w:r>
    </w:p>
    <w:p w:rsidR="00000000" w:rsidRPr="001639F0" w:rsidP="001639F0">
      <w:pPr>
        <w:pStyle w:val="ListBullet"/>
      </w:pPr>
      <w:r w:rsidRPr="001639F0">
        <w:t>how the process and equipment functions</w:t>
      </w:r>
    </w:p>
    <w:p w:rsidR="00000000" w:rsidRPr="001639F0" w:rsidP="001639F0">
      <w:pPr>
        <w:pStyle w:val="ListBullet"/>
      </w:pPr>
      <w:r w:rsidRPr="001639F0">
        <w:t>characteristics of materials in relation to process conditions and stages of production</w:t>
      </w:r>
    </w:p>
    <w:p w:rsidR="00000000" w:rsidRPr="001639F0" w:rsidP="001639F0">
      <w:pPr>
        <w:pStyle w:val="ListBullet"/>
      </w:pPr>
      <w:r w:rsidRPr="001639F0">
        <w:t>types of product faults, including variations in:</w:t>
      </w:r>
    </w:p>
    <w:p w:rsidR="00000000" w:rsidRPr="001639F0" w:rsidP="001639F0">
      <w:pPr>
        <w:pStyle w:val="ListBullet2"/>
      </w:pPr>
      <w:r w:rsidRPr="001639F0">
        <w:t xml:space="preserve">colour </w:t>
      </w:r>
    </w:p>
    <w:p w:rsidR="00000000" w:rsidRPr="001639F0" w:rsidP="001639F0">
      <w:pPr>
        <w:pStyle w:val="ListBullet2"/>
      </w:pPr>
      <w:r w:rsidRPr="001639F0">
        <w:t xml:space="preserve">surface finish </w:t>
      </w:r>
    </w:p>
    <w:p w:rsidR="00000000" w:rsidRPr="001639F0" w:rsidP="001639F0">
      <w:pPr>
        <w:pStyle w:val="ListBullet2"/>
      </w:pPr>
      <w:r w:rsidRPr="001639F0">
        <w:t xml:space="preserve">size/shape </w:t>
      </w:r>
    </w:p>
    <w:p w:rsidR="00000000" w:rsidRPr="001639F0" w:rsidP="001639F0">
      <w:pPr>
        <w:pStyle w:val="ListBullet2"/>
      </w:pPr>
      <w:r w:rsidRPr="001639F0">
        <w:t xml:space="preserve">physical properties </w:t>
      </w:r>
    </w:p>
    <w:p w:rsidR="00000000" w:rsidRPr="001639F0" w:rsidP="001639F0">
      <w:pPr>
        <w:pStyle w:val="ListBullet2"/>
      </w:pPr>
      <w:r w:rsidRPr="001639F0">
        <w:t>chemical properties</w:t>
      </w:r>
    </w:p>
    <w:p w:rsidR="00000000" w:rsidRPr="001639F0" w:rsidP="001639F0">
      <w:pPr>
        <w:pStyle w:val="ListBullet"/>
      </w:pPr>
      <w:r w:rsidRPr="001639F0">
        <w:t>regimes for product and process testing</w:t>
      </w:r>
    </w:p>
    <w:p w:rsidR="00000000" w:rsidRPr="001639F0" w:rsidP="001639F0">
      <w:pPr>
        <w:pStyle w:val="ListBullet"/>
      </w:pPr>
      <w:r w:rsidRPr="001639F0">
        <w:t>techniques for communicating proposals to stakeholders</w:t>
      </w:r>
    </w:p>
    <w:p w:rsidR="00000000" w:rsidRPr="001639F0" w:rsidP="001639F0">
      <w:pPr>
        <w:pStyle w:val="ListBullet"/>
      </w:pPr>
      <w:r w:rsidRPr="001639F0">
        <w:t>typical process and product problems, including early warning signs, possible cause</w:t>
      </w:r>
      <w:r w:rsidRPr="001639F0">
        <w:t>s and corrective actions.</w:t>
      </w:r>
    </w:p>
    <w:p w:rsidR="00000000" w:rsidRPr="001639F0" w:rsidP="001639F0">
      <w:pPr>
        <w:pStyle w:val="AllowPageBreak"/>
      </w:pPr>
    </w:p>
    <w:p w:rsidR="00000000" w:rsidRPr="001639F0" w:rsidP="001639F0">
      <w:pPr>
        <w:pStyle w:val="Heading1"/>
      </w:pPr>
      <w:bookmarkStart w:id="12" w:name="O_1115895"/>
      <w:bookmarkEnd w:id="12"/>
      <w:r w:rsidRPr="001639F0">
        <w:t>Assessment Conditions</w:t>
      </w:r>
    </w:p>
    <w:p w:rsidR="00000000" w:rsidRPr="001639F0" w:rsidP="005645CA">
      <w:pPr>
        <w:pStyle w:val="BodyText"/>
      </w:pPr>
      <w:r w:rsidRPr="001639F0">
        <w:t>Skills must have been demonstrated in the workplace or in a simulated environment that reflects workplace conditions and contingencies</w:t>
      </w:r>
    </w:p>
    <w:p w:rsidR="00000000" w:rsidRPr="001639F0" w:rsidP="005645CA">
      <w:pPr>
        <w:pStyle w:val="BodyText"/>
      </w:pPr>
      <w:r w:rsidRPr="001639F0">
        <w:t>Assessors must satisfy the NVR/AQTF mandatory competency requirements for assessors.</w:t>
      </w:r>
    </w:p>
    <w:p w:rsidR="00000000" w:rsidRPr="001639F0" w:rsidP="001639F0">
      <w:pPr>
        <w:pStyle w:val="Heading1"/>
      </w:pPr>
      <w:bookmarkStart w:id="13" w:name="O_1115898"/>
      <w:bookmarkEnd w:id="13"/>
      <w:r w:rsidRPr="001639F0">
        <w:t>Links</w:t>
      </w:r>
    </w:p>
    <w:p w:rsidR="00000000" w:rsidRPr="001639F0" w:rsidP="005645CA">
      <w:pPr>
        <w:pStyle w:val="BodyText"/>
      </w:pPr>
      <w:r w:rsidRPr="001639F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744A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639F0" w:rsidP="001639F0"/>
    <w:sectPr w:rsidSect="001639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F0" w:rsidRPr="005645CA" w:rsidP="00564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CA" w:rsidP="00163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45CA" w:rsidP="00163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645CA" w:rsidP="001639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F0" w:rsidP="00163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45CA">
      <w:t>Approved</w:t>
    </w:r>
    <w:r w:rsidR="005645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45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45CA">
      <w:rPr>
        <w:noProof/>
      </w:rPr>
      <w:t>4</w:t>
    </w:r>
    <w:r>
      <w:rPr>
        <w:noProof/>
      </w:rPr>
      <w:fldChar w:fldCharType="end"/>
    </w:r>
  </w:p>
  <w:p w:rsidR="001639F0" w:rsidP="00163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45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45CA">
      <w:t>Manufacturing Industry Skills Alliance</w:t>
    </w:r>
    <w:r w:rsidR="005645CA">
      <w:fldChar w:fldCharType="end"/>
    </w:r>
  </w:p>
  <w:p w:rsidR="001639F0" w:rsidP="00163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9F0" w:rsidRPr="005645CA" w:rsidP="00564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5CA" w:rsidRPr="002D2AF8" w:rsidP="00163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PMBTECH406E Diagnose production equipment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45CA" w:rsidP="001639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9F0" w:rsidRPr="002D2AF8" w:rsidP="00163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45CA">
      <w:t>PMBTECH406E Diagnose production equipment problems</w:t>
    </w:r>
    <w:r w:rsidR="005645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45CA">
      <w:rPr>
        <w:noProof/>
      </w:rPr>
      <w:t>2 March 2025</w:t>
    </w:r>
    <w:r>
      <w:fldChar w:fldCharType="end"/>
    </w:r>
  </w:p>
  <w:p w:rsidR="001639F0" w:rsidP="00163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BCF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B8A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61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9F0"/>
  </w:style>
  <w:style w:type="character" w:customStyle="1" w:styleId="Heading1Char">
    <w:name w:val="Heading 1 Char"/>
    <w:basedOn w:val="DefaultParagraphFont"/>
    <w:link w:val="Heading1"/>
    <w:rsid w:val="00163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9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9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9F0"/>
    <w:rPr>
      <w:b/>
      <w:spacing w:val="0"/>
    </w:rPr>
  </w:style>
  <w:style w:type="paragraph" w:styleId="ListBullet2">
    <w:name w:val="List Bullet 2"/>
    <w:basedOn w:val="List2"/>
    <w:rsid w:val="001639F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39F0"/>
    <w:rPr>
      <w:i/>
    </w:rPr>
  </w:style>
  <w:style w:type="paragraph" w:customStyle="1" w:styleId="SuperHeading">
    <w:name w:val="SuperHeading"/>
    <w:basedOn w:val="Normal"/>
    <w:rsid w:val="00163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39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63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9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9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9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9F0"/>
  </w:style>
  <w:style w:type="paragraph" w:styleId="TableofFigures">
    <w:name w:val="table of figures"/>
    <w:basedOn w:val="Normal"/>
    <w:next w:val="Normal"/>
    <w:semiHidden/>
    <w:rsid w:val="00163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9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39F0"/>
    <w:rPr>
      <w:rFonts w:ascii="Wingdings" w:hAnsi="Wingdings"/>
    </w:rPr>
  </w:style>
  <w:style w:type="paragraph" w:customStyle="1" w:styleId="TableHeading">
    <w:name w:val="Table Heading"/>
    <w:basedOn w:val="HeadingBase"/>
    <w:rsid w:val="00163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9F0"/>
    <w:rPr>
      <w:color w:val="0033CC"/>
      <w:u w:val="none"/>
    </w:rPr>
  </w:style>
  <w:style w:type="paragraph" w:customStyle="1" w:styleId="BodyTextRight">
    <w:name w:val="Body Text Right"/>
    <w:basedOn w:val="BodyText"/>
    <w:rsid w:val="00163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9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9F0"/>
    <w:rPr>
      <w:sz w:val="32"/>
    </w:rPr>
  </w:style>
  <w:style w:type="paragraph" w:customStyle="1" w:styleId="HeadingProcedure">
    <w:name w:val="Heading Procedure"/>
    <w:basedOn w:val="HeadingBase"/>
    <w:next w:val="Normal"/>
    <w:rsid w:val="00163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9F0"/>
    <w:pPr>
      <w:spacing w:before="60" w:after="60"/>
    </w:pPr>
  </w:style>
  <w:style w:type="paragraph" w:styleId="ListContinue">
    <w:name w:val="List Continue"/>
    <w:basedOn w:val="List"/>
    <w:rsid w:val="001639F0"/>
    <w:pPr>
      <w:ind w:firstLine="0"/>
    </w:pPr>
  </w:style>
  <w:style w:type="paragraph" w:customStyle="1" w:styleId="ListNote">
    <w:name w:val="List Note"/>
    <w:basedOn w:val="List"/>
    <w:rsid w:val="00163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9F0"/>
    <w:rPr>
      <w:rFonts w:ascii="Courier New" w:hAnsi="Courier New"/>
    </w:rPr>
  </w:style>
  <w:style w:type="paragraph" w:customStyle="1" w:styleId="NoteBullet">
    <w:name w:val="Note Bullet"/>
    <w:basedOn w:val="Note"/>
    <w:rsid w:val="00163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9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3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9F0"/>
    <w:rPr>
      <w:b/>
      <w:smallCaps/>
    </w:rPr>
  </w:style>
  <w:style w:type="paragraph" w:customStyle="1" w:styleId="TableListNumber">
    <w:name w:val="Table List Number"/>
    <w:basedOn w:val="ListNumber"/>
    <w:rsid w:val="00163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9F0"/>
    <w:pPr>
      <w:numPr>
        <w:numId w:val="10"/>
      </w:numPr>
    </w:pPr>
  </w:style>
  <w:style w:type="paragraph" w:customStyle="1" w:styleId="ListAlpha2">
    <w:name w:val="List Alpha 2"/>
    <w:basedOn w:val="List2"/>
    <w:rsid w:val="001639F0"/>
    <w:pPr>
      <w:numPr>
        <w:numId w:val="9"/>
      </w:numPr>
    </w:pPr>
  </w:style>
  <w:style w:type="paragraph" w:styleId="List2">
    <w:name w:val="List 2"/>
    <w:basedOn w:val="BodyText"/>
    <w:rsid w:val="00163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9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39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39F0"/>
    <w:pPr>
      <w:numPr>
        <w:numId w:val="5"/>
      </w:numPr>
    </w:pPr>
  </w:style>
  <w:style w:type="paragraph" w:styleId="ListContinue2">
    <w:name w:val="List Continue 2"/>
    <w:basedOn w:val="List2"/>
    <w:rsid w:val="001639F0"/>
    <w:pPr>
      <w:ind w:firstLine="0"/>
    </w:pPr>
  </w:style>
  <w:style w:type="paragraph" w:styleId="ListContinue3">
    <w:name w:val="List Continue 3"/>
    <w:basedOn w:val="List3"/>
    <w:rsid w:val="001639F0"/>
    <w:pPr>
      <w:ind w:left="1021" w:firstLine="0"/>
    </w:pPr>
  </w:style>
  <w:style w:type="paragraph" w:styleId="ListContinue4">
    <w:name w:val="List Continue 4"/>
    <w:basedOn w:val="List4"/>
    <w:rsid w:val="001639F0"/>
    <w:pPr>
      <w:ind w:firstLine="0"/>
    </w:pPr>
  </w:style>
  <w:style w:type="paragraph" w:styleId="ListContinue5">
    <w:name w:val="List Continue 5"/>
    <w:basedOn w:val="List5"/>
    <w:rsid w:val="001639F0"/>
    <w:pPr>
      <w:ind w:firstLine="0"/>
    </w:pPr>
  </w:style>
  <w:style w:type="paragraph" w:styleId="ListNumber3">
    <w:name w:val="List Number 3"/>
    <w:basedOn w:val="List3"/>
    <w:rsid w:val="001639F0"/>
    <w:pPr>
      <w:numPr>
        <w:numId w:val="6"/>
      </w:numPr>
    </w:pPr>
  </w:style>
  <w:style w:type="paragraph" w:styleId="ListNumber4">
    <w:name w:val="List Number 4"/>
    <w:basedOn w:val="List4"/>
    <w:rsid w:val="001639F0"/>
    <w:pPr>
      <w:numPr>
        <w:numId w:val="7"/>
      </w:numPr>
    </w:pPr>
  </w:style>
  <w:style w:type="paragraph" w:styleId="ListNumber5">
    <w:name w:val="List Number 5"/>
    <w:basedOn w:val="List5"/>
    <w:rsid w:val="001639F0"/>
    <w:pPr>
      <w:numPr>
        <w:numId w:val="8"/>
      </w:numPr>
    </w:pPr>
  </w:style>
  <w:style w:type="paragraph" w:styleId="BlockText">
    <w:name w:val="Block Text"/>
    <w:basedOn w:val="Normal"/>
    <w:rsid w:val="00163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9F0"/>
    <w:rPr>
      <w:sz w:val="16"/>
      <w:vertAlign w:val="superscript"/>
    </w:rPr>
  </w:style>
  <w:style w:type="character" w:customStyle="1" w:styleId="Symbols">
    <w:name w:val="Symbols"/>
    <w:basedOn w:val="DefaultParagraphFont"/>
    <w:rsid w:val="001639F0"/>
    <w:rPr>
      <w:rFonts w:ascii="Symbol" w:hAnsi="Symbol"/>
    </w:rPr>
  </w:style>
  <w:style w:type="character" w:customStyle="1" w:styleId="MenuOptions">
    <w:name w:val="Menu Options"/>
    <w:basedOn w:val="DefaultParagraphFont"/>
    <w:rsid w:val="00163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9F0"/>
    <w:rPr>
      <w:b/>
    </w:rPr>
  </w:style>
  <w:style w:type="character" w:customStyle="1" w:styleId="Underlined">
    <w:name w:val="Underlined"/>
    <w:basedOn w:val="DefaultParagraphFont"/>
    <w:rsid w:val="001639F0"/>
    <w:rPr>
      <w:u w:val="single"/>
    </w:rPr>
  </w:style>
  <w:style w:type="paragraph" w:customStyle="1" w:styleId="TableBodyTextRight">
    <w:name w:val="Table Body Text Right"/>
    <w:basedOn w:val="TableBodyText"/>
    <w:rsid w:val="00163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9F0"/>
    <w:rPr>
      <w:sz w:val="18"/>
    </w:rPr>
  </w:style>
  <w:style w:type="paragraph" w:customStyle="1" w:styleId="BodySmallRight">
    <w:name w:val="Body Small Right"/>
    <w:basedOn w:val="BodyTextRight"/>
    <w:rsid w:val="001639F0"/>
    <w:rPr>
      <w:sz w:val="18"/>
      <w:szCs w:val="18"/>
    </w:rPr>
  </w:style>
  <w:style w:type="paragraph" w:customStyle="1" w:styleId="MarginEdition">
    <w:name w:val="Margin Edition"/>
    <w:basedOn w:val="MarginNote"/>
    <w:rsid w:val="00163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9F0"/>
    <w:rPr>
      <w:sz w:val="2"/>
      <w:szCs w:val="2"/>
    </w:rPr>
  </w:style>
  <w:style w:type="character" w:customStyle="1" w:styleId="Small">
    <w:name w:val="Small"/>
    <w:basedOn w:val="DefaultParagraphFont"/>
    <w:rsid w:val="001639F0"/>
    <w:rPr>
      <w:sz w:val="16"/>
    </w:rPr>
  </w:style>
  <w:style w:type="paragraph" w:customStyle="1" w:styleId="WideTable">
    <w:name w:val="Wide Table"/>
    <w:basedOn w:val="Normal"/>
    <w:rsid w:val="00163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9F0"/>
  </w:style>
  <w:style w:type="paragraph" w:styleId="Quote">
    <w:name w:val="Quote"/>
    <w:basedOn w:val="Heading1"/>
    <w:link w:val="QuoteChar"/>
    <w:qFormat/>
    <w:rsid w:val="00163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9F0"/>
    <w:pPr>
      <w:pageBreakBefore/>
    </w:pPr>
  </w:style>
  <w:style w:type="paragraph" w:customStyle="1" w:styleId="Border">
    <w:name w:val="Border"/>
    <w:basedOn w:val="Normal"/>
    <w:qFormat/>
    <w:rsid w:val="00163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9F0"/>
    <w:rPr>
      <w:u w:val="single"/>
    </w:rPr>
  </w:style>
  <w:style w:type="character" w:customStyle="1" w:styleId="BoldandItalics">
    <w:name w:val="Bold and Italics"/>
    <w:qFormat/>
    <w:rsid w:val="001639F0"/>
    <w:rPr>
      <w:b/>
      <w:i/>
      <w:u w:val="none"/>
    </w:rPr>
  </w:style>
  <w:style w:type="paragraph" w:styleId="BalloonText">
    <w:name w:val="Balloon Text"/>
    <w:basedOn w:val="Normal"/>
    <w:link w:val="BalloonTextChar"/>
    <w:rsid w:val="00163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9F0"/>
    <w:pPr>
      <w:spacing w:before="0" w:after="0"/>
    </w:pPr>
  </w:style>
  <w:style w:type="paragraph" w:customStyle="1" w:styleId="BodyTextBold">
    <w:name w:val="Body Text Bold"/>
    <w:basedOn w:val="BodyText"/>
    <w:qFormat/>
    <w:rsid w:val="001639F0"/>
    <w:rPr>
      <w:b/>
    </w:rPr>
  </w:style>
  <w:style w:type="character" w:styleId="Hyperlink">
    <w:name w:val="Hyperlink"/>
    <w:basedOn w:val="DefaultParagraphFont"/>
    <w:uiPriority w:val="99"/>
    <w:unhideWhenUsed/>
    <w:rsid w:val="00564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4821</Characters>
  <Application>Microsoft Office Word</Application>
  <DocSecurity>0</DocSecurity>
  <Lines>137</Lines>
  <Paragraphs>92</Paragraphs>
  <ScaleCrop>false</ScaleCrop>
  <Company>Author-it Software Corporation Ltd.</Company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PMBTECH406E Diagnose production equipment problems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2025-03-01T15:27:00Z</dcterms:created>
  <dcterms:modified xsi:type="dcterms:W3CDTF">2025-03-01T15:27:00Z</dcterms:modified>
</cp:coreProperties>
</file>