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E1E" w:rsidP="00F47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PMBTECH405E Repair damaged fibre-composites structures</w:t>
      </w:r>
      <w:r>
        <w:fldChar w:fldCharType="end"/>
      </w:r>
    </w:p>
    <w:p w:rsidR="00F47E1E" w:rsidP="00F47E1E">
      <w:pPr>
        <w:pStyle w:val="Version"/>
        <w:sectPr w:rsidSect="00370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FCC" w:rsidP="00370FCC">
      <w:pPr>
        <w:pStyle w:val="SuperHeading"/>
      </w:pPr>
      <w:r w:rsidRPr="00370FCC">
        <w:t>PMBTECH405E Repair damaged fibre-composites structures</w:t>
      </w:r>
    </w:p>
    <w:p w:rsidR="00000000" w:rsidRPr="00370FCC" w:rsidP="00370FCC">
      <w:pPr>
        <w:pStyle w:val="Heading1"/>
      </w:pPr>
      <w:bookmarkStart w:id="1" w:name="O_1115863"/>
      <w:bookmarkEnd w:id="1"/>
      <w:r w:rsidRPr="00370FCC">
        <w:t>Modification History</w:t>
      </w:r>
    </w:p>
    <w:p w:rsidR="00000000" w:rsidRPr="00370FCC" w:rsidP="00F47E1E">
      <w:pPr>
        <w:pStyle w:val="BodyText"/>
      </w:pPr>
      <w:r w:rsidRPr="00370FCC">
        <w:t>Release 1. Unit code changed. Application changed. Elements and Performance Criteria changed. Range of Conditions removed. Assessment Requirements changed. Supersedes and is equivalent to PMBTECH405 Repair damaged fib</w:t>
      </w:r>
      <w:r w:rsidRPr="00370FCC">
        <w:t>re-composites structures.</w:t>
      </w:r>
    </w:p>
    <w:p w:rsidR="00000000" w:rsidRPr="00370FCC" w:rsidP="00370FCC">
      <w:pPr>
        <w:pStyle w:val="Heading1"/>
      </w:pPr>
      <w:bookmarkStart w:id="2" w:name="O_1115864"/>
      <w:bookmarkEnd w:id="2"/>
      <w:r w:rsidRPr="00370FCC">
        <w:t>Application</w:t>
      </w:r>
    </w:p>
    <w:p w:rsidR="00000000" w:rsidRPr="00370FCC" w:rsidP="00F47E1E">
      <w:pPr>
        <w:pStyle w:val="BodyText"/>
      </w:pPr>
      <w:r w:rsidRPr="00370FCC">
        <w:t>This unit describes the skills and knowledge required to repair composite products in post-production that have cosmetic or structural damage.</w:t>
      </w:r>
    </w:p>
    <w:p w:rsidR="00000000" w:rsidRPr="00370FCC" w:rsidP="00F47E1E">
      <w:pPr>
        <w:pStyle w:val="BodyText"/>
      </w:pPr>
      <w:r w:rsidRPr="00370FCC">
        <w:t>This unit applies to an experienced technician working a</w:t>
      </w:r>
      <w:r w:rsidRPr="00370FCC">
        <w:t>lone or as part of a team.</w:t>
      </w:r>
    </w:p>
    <w:p w:rsidR="00000000" w:rsidRPr="00370FCC" w:rsidP="00F47E1E">
      <w:pPr>
        <w:pStyle w:val="BodyText"/>
      </w:pPr>
      <w:r w:rsidRPr="00370FCC">
        <w:t>The unit principally refers to the technician understanding that the scope of the damaged structure dictates the application of the composites materials technology for the repair method.</w:t>
      </w:r>
    </w:p>
    <w:p w:rsidR="00000000" w:rsidRPr="00370FCC" w:rsidP="00F47E1E">
      <w:pPr>
        <w:pStyle w:val="BodyText"/>
      </w:pPr>
      <w:r w:rsidRPr="00370FCC">
        <w:t>No licensing or certification requirements</w:t>
      </w:r>
      <w:r w:rsidRPr="00370FCC">
        <w:t xml:space="preserve"> exist at the time of publication. Relevant legislation, industry standards and codes of practice within Australia must be applied.</w:t>
      </w:r>
    </w:p>
    <w:p w:rsidR="00000000" w:rsidRPr="00370FCC" w:rsidP="00370FCC">
      <w:pPr>
        <w:pStyle w:val="Heading1"/>
      </w:pPr>
      <w:bookmarkStart w:id="3" w:name="O_1115865"/>
      <w:bookmarkEnd w:id="3"/>
      <w:r w:rsidRPr="00370FCC">
        <w:t>Pre-requisite Unit</w:t>
      </w:r>
    </w:p>
    <w:p w:rsidR="00000000" w:rsidRPr="00370FCC" w:rsidP="00F47E1E">
      <w:pPr>
        <w:pStyle w:val="BodyText"/>
      </w:pPr>
      <w:r w:rsidRPr="00370FCC">
        <w:t>Nil.</w:t>
      </w:r>
    </w:p>
    <w:p w:rsidR="00000000" w:rsidRPr="00370FCC" w:rsidP="00370FCC">
      <w:pPr>
        <w:pStyle w:val="Heading1"/>
      </w:pPr>
      <w:bookmarkStart w:id="4" w:name="O_1115866"/>
      <w:bookmarkEnd w:id="4"/>
      <w:r w:rsidRPr="00370FCC">
        <w:t>Competency Field</w:t>
      </w:r>
    </w:p>
    <w:p w:rsidR="00000000" w:rsidRPr="00370FCC" w:rsidP="00F47E1E">
      <w:pPr>
        <w:pStyle w:val="BodyText"/>
      </w:pPr>
      <w:r w:rsidRPr="00370FCC">
        <w:t>Technical – Composites</w:t>
      </w:r>
    </w:p>
    <w:p w:rsidR="00000000" w:rsidRPr="00370FCC" w:rsidP="00370FCC">
      <w:pPr>
        <w:pStyle w:val="Heading1"/>
      </w:pPr>
      <w:bookmarkStart w:id="5" w:name="O_1115868"/>
      <w:bookmarkEnd w:id="5"/>
      <w:r w:rsidRPr="00370FCC">
        <w:t>Ele</w:t>
      </w:r>
      <w:r w:rsidRPr="00370FCC">
        <w:t>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70FC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CC" w:rsidP="00370FCC">
            <w:pPr>
              <w:pStyle w:val="BodyText"/>
            </w:pPr>
            <w:r w:rsidRPr="00370FCC">
              <w:rPr>
                <w:rStyle w:val="SpecialBold"/>
              </w:rPr>
              <w:t>Elements</w:t>
            </w:r>
          </w:p>
          <w:p w:rsidR="00000000" w:rsidRPr="00370FCC" w:rsidP="00370FCC">
            <w:pPr>
              <w:pStyle w:val="BodyText"/>
            </w:pPr>
            <w:r w:rsidRPr="00370FC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CC" w:rsidP="00370FCC">
            <w:pPr>
              <w:pStyle w:val="BodyText"/>
            </w:pPr>
            <w:r w:rsidRPr="00370FCC">
              <w:rPr>
                <w:rStyle w:val="SpecialBold"/>
              </w:rPr>
              <w:t>Performance Criteria</w:t>
            </w:r>
          </w:p>
          <w:p w:rsidR="00000000" w:rsidP="00370FCC">
            <w:pPr>
              <w:pStyle w:val="BodyText"/>
              <w:rPr>
                <w:lang w:val="en-NZ"/>
              </w:rPr>
            </w:pPr>
            <w:r w:rsidRPr="00370FCC">
              <w:t>Performance criteria describe the performance needed to demonstrate achievement of the element.</w:t>
            </w:r>
          </w:p>
        </w:tc>
      </w:tr>
      <w:tr w:rsidTr="00370FC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FCC">
            <w:pPr>
              <w:pStyle w:val="BodyText"/>
              <w:rPr>
                <w:lang w:val="en-NZ"/>
              </w:rPr>
            </w:pPr>
            <w:r w:rsidRPr="00370FCC">
              <w:t>1. Assess the product and damage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CC" w:rsidP="00370FCC">
            <w:pPr>
              <w:pStyle w:val="BodyText"/>
            </w:pPr>
            <w:r w:rsidRPr="00370FCC">
              <w:t>1.1 Determine scope of repair required by assessing product and damage against original manufacturer or other specifications</w:t>
            </w:r>
          </w:p>
          <w:p w:rsidR="00000000" w:rsidRPr="00370FCC" w:rsidP="00370FCC">
            <w:pPr>
              <w:pStyle w:val="BodyText"/>
            </w:pPr>
            <w:r w:rsidRPr="00370FCC">
              <w:t>1.2 Select suitable repair technique based on manufacturer and job specifications that will meet repair quality standards</w:t>
            </w:r>
          </w:p>
          <w:p w:rsidR="00000000" w:rsidRPr="00370FCC" w:rsidP="00370FCC">
            <w:pPr>
              <w:pStyle w:val="BodyText"/>
            </w:pPr>
            <w:r w:rsidRPr="00370FCC">
              <w:t>1.3 Acces</w:t>
            </w:r>
            <w:r w:rsidRPr="00370FCC">
              <w:t>s and interpret testing reports and other available information detailing areas to be repaired and extent of damage</w:t>
            </w:r>
          </w:p>
          <w:p w:rsidR="00000000" w:rsidRPr="00370FCC" w:rsidP="00370FCC">
            <w:pPr>
              <w:pStyle w:val="BodyText"/>
            </w:pPr>
            <w:r w:rsidRPr="00370FCC">
              <w:t>1.4 Assess accessibility of damaged section or sections to inform repair process</w:t>
            </w:r>
          </w:p>
          <w:p w:rsidR="00000000" w:rsidP="00370FCC">
            <w:pPr>
              <w:pStyle w:val="BodyText"/>
              <w:rPr>
                <w:lang w:val="en-NZ"/>
              </w:rPr>
            </w:pPr>
            <w:r w:rsidRPr="00370FCC">
              <w:t>1.5 Assess product to identify areas requiring cosmetic and</w:t>
            </w:r>
            <w:r w:rsidRPr="00370FCC">
              <w:t xml:space="preserve"> structural repair</w:t>
            </w:r>
          </w:p>
        </w:tc>
      </w:tr>
      <w:tr w:rsidTr="00370FC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FCC">
            <w:pPr>
              <w:pStyle w:val="BodyText"/>
              <w:rPr>
                <w:lang w:val="en-NZ"/>
              </w:rPr>
            </w:pPr>
            <w:r w:rsidRPr="00370FCC">
              <w:t>2. Make repairs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CC" w:rsidP="00370FCC">
            <w:pPr>
              <w:pStyle w:val="BodyText"/>
            </w:pPr>
            <w:r w:rsidRPr="00370FCC">
              <w:t xml:space="preserve">2.1 Prepare product as required prior to commencing repair work </w:t>
            </w:r>
          </w:p>
          <w:p w:rsidR="00000000" w:rsidRPr="00370FCC" w:rsidP="00370FCC">
            <w:pPr>
              <w:pStyle w:val="BodyText"/>
            </w:pPr>
            <w:r w:rsidRPr="00370FCC">
              <w:t>2.2 Make partial mould or prepare insert moulding to meet repair requirements</w:t>
            </w:r>
          </w:p>
          <w:p w:rsidR="00000000" w:rsidRPr="00370FCC" w:rsidP="00370FCC">
            <w:pPr>
              <w:pStyle w:val="BodyText"/>
            </w:pPr>
            <w:r w:rsidRPr="00370FCC">
              <w:t>2.3 Use tapered sanding techniques to expose bonding surfaces or structural a</w:t>
            </w:r>
            <w:r w:rsidRPr="00370FCC">
              <w:t xml:space="preserve">nchor points </w:t>
            </w:r>
          </w:p>
          <w:p w:rsidR="00000000" w:rsidRPr="00370FCC" w:rsidP="00370FCC">
            <w:pPr>
              <w:pStyle w:val="BodyText"/>
            </w:pPr>
            <w:r w:rsidRPr="00370FCC">
              <w:t>2.4 Rebuild damaged area and finish surfaces to meet repair quality standards</w:t>
            </w:r>
          </w:p>
          <w:p w:rsidR="00000000" w:rsidP="00370FCC">
            <w:pPr>
              <w:pStyle w:val="BodyText"/>
              <w:rPr>
                <w:lang w:val="en-NZ"/>
              </w:rPr>
            </w:pPr>
            <w:r w:rsidRPr="00370FCC">
              <w:t xml:space="preserve">2.5 Take samples for testing and inclusion with documentation </w:t>
            </w:r>
          </w:p>
        </w:tc>
      </w:tr>
      <w:tr w:rsidTr="00370FC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FCC">
            <w:pPr>
              <w:pStyle w:val="BodyText"/>
              <w:rPr>
                <w:lang w:val="en-NZ"/>
              </w:rPr>
            </w:pPr>
            <w:r w:rsidRPr="00370FCC">
              <w:t>3. Review and document repairs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FCC" w:rsidP="00370FCC">
            <w:pPr>
              <w:pStyle w:val="BodyText"/>
            </w:pPr>
            <w:r w:rsidRPr="00370FCC">
              <w:t>3.1 Produce accurate repair documentation that reflects repair proces</w:t>
            </w:r>
            <w:r w:rsidRPr="00370FCC">
              <w:t>s and outcomes</w:t>
            </w:r>
          </w:p>
          <w:p w:rsidR="00000000" w:rsidRPr="00370FCC" w:rsidP="00370FCC">
            <w:pPr>
              <w:pStyle w:val="BodyText"/>
            </w:pPr>
            <w:r w:rsidRPr="00370FCC">
              <w:t>3.2 Review repair process and outcomes and make recommendations for process improvements to relevant personnel</w:t>
            </w:r>
          </w:p>
        </w:tc>
      </w:tr>
    </w:tbl>
    <w:p w:rsidR="00000000" w:rsidRPr="00370FCC" w:rsidP="00370FCC">
      <w:pPr>
        <w:pStyle w:val="BodyText"/>
      </w:pPr>
    </w:p>
    <w:p w:rsidR="00000000" w:rsidRPr="00370FCC" w:rsidP="00370FCC">
      <w:pPr>
        <w:pStyle w:val="AllowPageBreak"/>
      </w:pPr>
    </w:p>
    <w:p w:rsidR="00000000" w:rsidRPr="00370FCC" w:rsidP="00370FCC">
      <w:pPr>
        <w:pStyle w:val="Heading1"/>
      </w:pPr>
      <w:bookmarkStart w:id="6" w:name="O_1115869"/>
      <w:bookmarkEnd w:id="6"/>
      <w:r w:rsidRPr="00370FCC">
        <w:t>Foundation Skills</w:t>
      </w:r>
    </w:p>
    <w:p w:rsidR="00000000" w:rsidRPr="00370FCC" w:rsidP="00F47E1E">
      <w:pPr>
        <w:pStyle w:val="BodyText"/>
      </w:pPr>
      <w:r w:rsidRPr="00370FCC">
        <w:t xml:space="preserve">This section describes those language, literacy, numeracy and employment skills that are essential to performance. </w:t>
      </w:r>
    </w:p>
    <w:p w:rsidR="00000000" w:rsidRPr="00370FCC" w:rsidP="00370FCC">
      <w:pPr>
        <w:pStyle w:val="ListBullet"/>
      </w:pPr>
      <w:r w:rsidRPr="00370FCC">
        <w:t>Numeracy skills to support repair scoping and application of repair processes.</w:t>
      </w:r>
    </w:p>
    <w:p w:rsidR="00000000" w:rsidRPr="00370FCC" w:rsidP="00370FCC">
      <w:pPr>
        <w:pStyle w:val="ListBullet"/>
      </w:pPr>
      <w:r w:rsidRPr="00370FCC">
        <w:t xml:space="preserve">Reading skills to interpret manufacturer specifications and </w:t>
      </w:r>
      <w:r w:rsidRPr="00370FCC">
        <w:t>test reports.</w:t>
      </w:r>
    </w:p>
    <w:p w:rsidR="00000000" w:rsidRPr="00370FCC" w:rsidP="00370FCC">
      <w:pPr>
        <w:pStyle w:val="ListBullet"/>
      </w:pPr>
      <w:r w:rsidRPr="00370FCC">
        <w:t>Writing and oral communication skills to report on repair outcomes and make process improvement recommendations.</w:t>
      </w:r>
    </w:p>
    <w:p w:rsidR="00000000" w:rsidRPr="00F47E1E" w:rsidP="00F47E1E">
      <w:pPr>
        <w:pStyle w:val="BodyText"/>
        <w:rPr>
          <w:i/>
        </w:rPr>
      </w:pPr>
      <w:r w:rsidRPr="00F47E1E">
        <w:rPr>
          <w:rStyle w:val="Emphasis"/>
        </w:rPr>
        <w:t>Other foundation skills essential to performance are explicit in the performance criteria of this unit of competency.</w:t>
      </w:r>
    </w:p>
    <w:p w:rsidR="00000000" w:rsidRPr="00370FCC" w:rsidP="00370FCC">
      <w:pPr>
        <w:pStyle w:val="Heading1"/>
      </w:pPr>
      <w:bookmarkStart w:id="7" w:name="O_1115871"/>
      <w:bookmarkEnd w:id="7"/>
      <w:r w:rsidRPr="00370FCC">
        <w:t>Unit Mapping Information</w:t>
      </w:r>
    </w:p>
    <w:p w:rsidR="00000000" w:rsidRPr="00370FCC" w:rsidP="00F47E1E">
      <w:pPr>
        <w:pStyle w:val="BodyText"/>
      </w:pPr>
      <w:r w:rsidRPr="00370FCC">
        <w:t>Supersedes and is equivalent to PMBTECH405 Repair damaged fibre-composites structures.</w:t>
      </w:r>
    </w:p>
    <w:p w:rsidR="00000000" w:rsidRPr="00370FCC" w:rsidP="00370FCC">
      <w:pPr>
        <w:pStyle w:val="Heading1"/>
      </w:pPr>
      <w:bookmarkStart w:id="8" w:name="O_1115878"/>
      <w:bookmarkEnd w:id="8"/>
      <w:r w:rsidRPr="00370FCC">
        <w:t>Links</w:t>
      </w:r>
    </w:p>
    <w:p w:rsidR="00000000" w:rsidRPr="00370FCC" w:rsidP="00F47E1E">
      <w:pPr>
        <w:pStyle w:val="BodyText"/>
      </w:pPr>
      <w:r w:rsidRPr="00370FCC">
        <w:t>Companion Volume implementation guides are found in VETNet –</w:t>
      </w:r>
      <w:r w:rsidRPr="00370FCC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A715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70FCC" w:rsidP="00F47E1E">
      <w:pPr>
        <w:pStyle w:val="BodyText"/>
        <w:sectPr w:rsidSect="00370F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FCC" w:rsidP="00370FCC">
      <w:pPr>
        <w:pStyle w:val="SuperHeading"/>
      </w:pPr>
      <w:r w:rsidRPr="00370FCC">
        <w:t>Assessment Requirements for PMBTECH405E Repair damaged fibre-composites structures</w:t>
      </w:r>
    </w:p>
    <w:p w:rsidR="00000000" w:rsidRPr="00370FCC" w:rsidP="00370FCC">
      <w:pPr>
        <w:pStyle w:val="Heading1"/>
      </w:pPr>
      <w:bookmarkStart w:id="9" w:name="O_1115873"/>
      <w:bookmarkEnd w:id="9"/>
      <w:r w:rsidRPr="00370FCC">
        <w:t>Modification History</w:t>
      </w:r>
    </w:p>
    <w:p w:rsidR="00000000" w:rsidRPr="00370FCC" w:rsidP="00F47E1E">
      <w:pPr>
        <w:pStyle w:val="BodyText"/>
      </w:pPr>
      <w:r w:rsidRPr="00370FCC">
        <w:t>Release 1. Unit code changed. Application changed. Elements and Performance Criteria changed. Range of Conditions removed. Assessment Requirements changed. Supersedes and is equivalent to PMBTECH405 Repair damaged fibre-composites structures.</w:t>
      </w:r>
    </w:p>
    <w:p w:rsidR="00000000" w:rsidRPr="00370FCC" w:rsidP="00370FCC">
      <w:pPr>
        <w:pStyle w:val="Heading1"/>
      </w:pPr>
      <w:bookmarkStart w:id="10" w:name="O_1115874"/>
      <w:bookmarkEnd w:id="10"/>
      <w:r w:rsidRPr="00370FCC">
        <w:t>Performance Evidence</w:t>
      </w:r>
    </w:p>
    <w:p w:rsidR="00000000" w:rsidRPr="00370FCC" w:rsidP="00F47E1E">
      <w:pPr>
        <w:pStyle w:val="BodyText"/>
      </w:pPr>
      <w:r w:rsidRPr="00370FCC">
        <w:t>There must be evidence the candidate has completed the tasks outlined in the elements and performance criteria of this unit, and demonstrated the ability to:</w:t>
      </w:r>
    </w:p>
    <w:p w:rsidR="00000000" w:rsidRPr="00370FCC" w:rsidP="00370FCC">
      <w:pPr>
        <w:pStyle w:val="ListBullet"/>
      </w:pPr>
      <w:r w:rsidRPr="00370FCC">
        <w:t>repair damaged fibre-composites structures at least once to meet qual</w:t>
      </w:r>
      <w:r w:rsidRPr="00370FCC">
        <w:t>ity standards.</w:t>
      </w:r>
    </w:p>
    <w:p w:rsidR="00000000" w:rsidRPr="00370FCC" w:rsidP="00370FCC">
      <w:pPr>
        <w:pStyle w:val="AllowPageBreak"/>
      </w:pPr>
    </w:p>
    <w:p w:rsidR="00000000" w:rsidRPr="00370FCC" w:rsidP="00370FCC">
      <w:pPr>
        <w:pStyle w:val="Heading1"/>
      </w:pPr>
      <w:bookmarkStart w:id="11" w:name="O_1115875"/>
      <w:bookmarkEnd w:id="11"/>
      <w:r w:rsidRPr="00370FCC">
        <w:t>Knowledge Evidence</w:t>
      </w:r>
    </w:p>
    <w:p w:rsidR="00000000" w:rsidRPr="00370FCC" w:rsidP="00F47E1E">
      <w:pPr>
        <w:pStyle w:val="BodyText"/>
      </w:pPr>
      <w:r w:rsidRPr="00370FCC">
        <w:t>There must be evidence the candidate has knowledge of:</w:t>
      </w:r>
    </w:p>
    <w:p w:rsidR="00000000" w:rsidRPr="00370FCC" w:rsidP="00370FCC">
      <w:pPr>
        <w:pStyle w:val="ListBullet"/>
      </w:pPr>
      <w:r w:rsidRPr="00370FCC">
        <w:t>repair techniques, including:</w:t>
      </w:r>
    </w:p>
    <w:p w:rsidR="00000000" w:rsidRPr="00370FCC" w:rsidP="00370FCC">
      <w:pPr>
        <w:pStyle w:val="ListBullet2"/>
      </w:pPr>
      <w:r w:rsidRPr="00370FCC">
        <w:t>surface and part preparation</w:t>
      </w:r>
    </w:p>
    <w:p w:rsidR="00000000" w:rsidRPr="00370FCC" w:rsidP="00370FCC">
      <w:pPr>
        <w:pStyle w:val="ListBullet2"/>
      </w:pPr>
      <w:r w:rsidRPr="00370FCC">
        <w:t>laminating, reinforcing and strengthening techniques</w:t>
      </w:r>
    </w:p>
    <w:p w:rsidR="00000000" w:rsidRPr="00370FCC" w:rsidP="00370FCC">
      <w:pPr>
        <w:pStyle w:val="ListBullet2"/>
      </w:pPr>
      <w:r w:rsidRPr="00370FCC">
        <w:t>filling and joining techniques</w:t>
      </w:r>
    </w:p>
    <w:p w:rsidR="00000000" w:rsidRPr="00370FCC" w:rsidP="00370FCC">
      <w:pPr>
        <w:pStyle w:val="ListBullet2"/>
      </w:pPr>
      <w:r w:rsidRPr="00370FCC">
        <w:t xml:space="preserve">surface preparation for paint, gelcoat and flowcoat </w:t>
      </w:r>
    </w:p>
    <w:p w:rsidR="00000000" w:rsidRPr="00370FCC" w:rsidP="00370FCC">
      <w:pPr>
        <w:pStyle w:val="ListBullet2"/>
      </w:pPr>
      <w:r w:rsidRPr="00370FCC">
        <w:t>detailing for customer delivery</w:t>
      </w:r>
    </w:p>
    <w:p w:rsidR="00000000" w:rsidRPr="00370FCC" w:rsidP="00370FCC">
      <w:pPr>
        <w:pStyle w:val="ListBullet"/>
      </w:pPr>
      <w:r w:rsidRPr="00370FCC">
        <w:t>rectification procedures for repair of marine, automotive, aerospace, industrial and architectural mouldings</w:t>
      </w:r>
    </w:p>
    <w:p w:rsidR="00000000" w:rsidRPr="00370FCC" w:rsidP="00370FCC">
      <w:pPr>
        <w:pStyle w:val="ListBullet"/>
      </w:pPr>
      <w:r w:rsidRPr="00370FCC">
        <w:t xml:space="preserve">sources of product information to support repair assessment, </w:t>
      </w:r>
      <w:r w:rsidRPr="00370FCC">
        <w:t>including:</w:t>
      </w:r>
    </w:p>
    <w:p w:rsidR="00000000" w:rsidRPr="00370FCC" w:rsidP="00370FCC">
      <w:pPr>
        <w:pStyle w:val="ListBullet2"/>
      </w:pPr>
      <w:r w:rsidRPr="00370FCC">
        <w:t>original manufacturer manual</w:t>
      </w:r>
    </w:p>
    <w:p w:rsidR="00000000" w:rsidRPr="00370FCC" w:rsidP="00370FCC">
      <w:pPr>
        <w:pStyle w:val="ListBullet2"/>
      </w:pPr>
      <w:r w:rsidRPr="00370FCC">
        <w:t>structural repair manual</w:t>
      </w:r>
    </w:p>
    <w:p w:rsidR="00000000" w:rsidRPr="00370FCC" w:rsidP="00370FCC">
      <w:pPr>
        <w:pStyle w:val="ListBullet2"/>
      </w:pPr>
      <w:r w:rsidRPr="00370FCC">
        <w:t>product release documentation or specifications</w:t>
      </w:r>
    </w:p>
    <w:p w:rsidR="00000000" w:rsidRPr="00370FCC" w:rsidP="00370FCC">
      <w:pPr>
        <w:pStyle w:val="ListBullet2"/>
      </w:pPr>
      <w:r w:rsidRPr="00370FCC">
        <w:t>insurance documentation</w:t>
      </w:r>
    </w:p>
    <w:p w:rsidR="00000000" w:rsidRPr="00370FCC" w:rsidP="00370FCC">
      <w:pPr>
        <w:pStyle w:val="ListBullet2"/>
      </w:pPr>
      <w:r w:rsidRPr="00370FCC">
        <w:t>other technical documentation</w:t>
      </w:r>
    </w:p>
    <w:p w:rsidR="00000000" w:rsidRPr="00370FCC" w:rsidP="00370FCC">
      <w:pPr>
        <w:pStyle w:val="ListBullet"/>
      </w:pPr>
      <w:r w:rsidRPr="00370FCC">
        <w:t>types of documentation potentially required, including:</w:t>
      </w:r>
    </w:p>
    <w:p w:rsidR="00000000" w:rsidRPr="00370FCC" w:rsidP="00370FCC">
      <w:pPr>
        <w:pStyle w:val="ListBullet2"/>
      </w:pPr>
      <w:r w:rsidRPr="00370FCC">
        <w:t>costing</w:t>
      </w:r>
    </w:p>
    <w:p w:rsidR="00000000" w:rsidRPr="00370FCC" w:rsidP="00370FCC">
      <w:pPr>
        <w:pStyle w:val="ListBullet2"/>
      </w:pPr>
      <w:r w:rsidRPr="00370FCC">
        <w:t>legal</w:t>
      </w:r>
    </w:p>
    <w:p w:rsidR="00000000" w:rsidRPr="00370FCC" w:rsidP="00370FCC">
      <w:pPr>
        <w:pStyle w:val="ListBullet2"/>
      </w:pPr>
      <w:r w:rsidRPr="00370FCC">
        <w:t>insurance.</w:t>
      </w:r>
    </w:p>
    <w:p w:rsidR="00000000" w:rsidRPr="00370FCC" w:rsidP="00370FCC">
      <w:pPr>
        <w:pStyle w:val="AllowPageBreak"/>
      </w:pPr>
    </w:p>
    <w:p w:rsidR="00000000" w:rsidRPr="00370FCC" w:rsidP="00370FCC">
      <w:pPr>
        <w:pStyle w:val="Heading1"/>
      </w:pPr>
      <w:bookmarkStart w:id="12" w:name="O_1115876"/>
      <w:bookmarkEnd w:id="12"/>
      <w:r w:rsidRPr="00370FCC">
        <w:t>Assessment Conditions</w:t>
      </w:r>
    </w:p>
    <w:p w:rsidR="00000000" w:rsidRPr="00370FCC" w:rsidP="00F47E1E">
      <w:pPr>
        <w:pStyle w:val="BodyText"/>
      </w:pPr>
      <w:r w:rsidRPr="00370FCC">
        <w:t xml:space="preserve">Skills must have been demonstrated in the workplace or in a simulated environment that reflects workplace conditions and contingencies. </w:t>
      </w:r>
    </w:p>
    <w:p w:rsidR="00000000" w:rsidRPr="00370FCC" w:rsidP="00F47E1E">
      <w:pPr>
        <w:pStyle w:val="BodyText"/>
      </w:pPr>
      <w:r w:rsidRPr="00370FCC">
        <w:t>Assessors must satisfy the NVR/AQTF mandatory competency requirements for assessors.</w:t>
      </w:r>
    </w:p>
    <w:p w:rsidR="00000000" w:rsidRPr="00370FCC" w:rsidP="00370FCC">
      <w:pPr>
        <w:pStyle w:val="Heading1"/>
      </w:pPr>
      <w:bookmarkStart w:id="13" w:name="O_1115879"/>
      <w:bookmarkEnd w:id="13"/>
      <w:r w:rsidRPr="00370FCC">
        <w:t>Links</w:t>
      </w:r>
    </w:p>
    <w:p w:rsidR="00000000" w:rsidRPr="00370FCC" w:rsidP="00F47E1E">
      <w:pPr>
        <w:pStyle w:val="BodyText"/>
      </w:pPr>
      <w:r w:rsidRPr="00370FC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A715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70FCC" w:rsidP="00370FCC"/>
    <w:sectPr w:rsidSect="00370F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 w:rsidRPr="00F47E1E" w:rsidP="00F47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1E" w:rsidP="00370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E1E" w:rsidP="00370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7E1E" w:rsidP="00370F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 w:rsidP="00370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7E1E">
      <w:t>Approved</w:t>
    </w:r>
    <w:r w:rsidR="00F47E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7E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7E1E">
      <w:rPr>
        <w:noProof/>
      </w:rPr>
      <w:t>4</w:t>
    </w:r>
    <w:r>
      <w:rPr>
        <w:noProof/>
      </w:rPr>
      <w:fldChar w:fldCharType="end"/>
    </w:r>
  </w:p>
  <w:p w:rsidR="00370FCC" w:rsidP="00370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7E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7E1E">
      <w:t>Manufacturing Industry Skills Alliance</w:t>
    </w:r>
    <w:r w:rsidR="00F47E1E">
      <w:fldChar w:fldCharType="end"/>
    </w:r>
  </w:p>
  <w:p w:rsidR="00370FCC" w:rsidP="00370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FCC" w:rsidRPr="00F47E1E" w:rsidP="00F47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1E" w:rsidRPr="002D2AF8" w:rsidP="00370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PMBTECH405E Repair damaged fibre-composites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7E1E" w:rsidP="00370F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FCC" w:rsidRPr="002D2AF8" w:rsidP="00370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7E1E">
      <w:t>PMBTECH405E Repair damaged fibre-composites structures</w:t>
    </w:r>
    <w:r w:rsidR="00F47E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7E1E">
      <w:rPr>
        <w:noProof/>
      </w:rPr>
      <w:t>2 March 2025</w:t>
    </w:r>
    <w:r>
      <w:fldChar w:fldCharType="end"/>
    </w:r>
  </w:p>
  <w:p w:rsidR="00370FCC" w:rsidP="00370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2F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05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2E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FCC"/>
  </w:style>
  <w:style w:type="character" w:customStyle="1" w:styleId="Heading1Char">
    <w:name w:val="Heading 1 Char"/>
    <w:basedOn w:val="DefaultParagraphFont"/>
    <w:link w:val="Heading1"/>
    <w:rsid w:val="00370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F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F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FCC"/>
    <w:rPr>
      <w:b/>
      <w:spacing w:val="0"/>
    </w:rPr>
  </w:style>
  <w:style w:type="paragraph" w:styleId="ListBullet2">
    <w:name w:val="List Bullet 2"/>
    <w:basedOn w:val="List2"/>
    <w:rsid w:val="00370F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0FCC"/>
    <w:rPr>
      <w:i/>
    </w:rPr>
  </w:style>
  <w:style w:type="paragraph" w:customStyle="1" w:styleId="SuperHeading">
    <w:name w:val="SuperHeading"/>
    <w:basedOn w:val="Normal"/>
    <w:rsid w:val="00370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F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F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0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FCC"/>
  </w:style>
  <w:style w:type="paragraph" w:styleId="TableofFigures">
    <w:name w:val="table of figures"/>
    <w:basedOn w:val="Normal"/>
    <w:next w:val="Normal"/>
    <w:semiHidden/>
    <w:rsid w:val="00370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F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FCC"/>
    <w:rPr>
      <w:rFonts w:ascii="Wingdings" w:hAnsi="Wingdings"/>
    </w:rPr>
  </w:style>
  <w:style w:type="paragraph" w:customStyle="1" w:styleId="TableHeading">
    <w:name w:val="Table Heading"/>
    <w:basedOn w:val="HeadingBase"/>
    <w:rsid w:val="00370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FCC"/>
    <w:rPr>
      <w:color w:val="0033CC"/>
      <w:u w:val="none"/>
    </w:rPr>
  </w:style>
  <w:style w:type="paragraph" w:customStyle="1" w:styleId="BodyTextRight">
    <w:name w:val="Body Text Right"/>
    <w:basedOn w:val="BodyText"/>
    <w:rsid w:val="00370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F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FCC"/>
    <w:rPr>
      <w:sz w:val="32"/>
    </w:rPr>
  </w:style>
  <w:style w:type="paragraph" w:customStyle="1" w:styleId="HeadingProcedure">
    <w:name w:val="Heading Procedure"/>
    <w:basedOn w:val="HeadingBase"/>
    <w:next w:val="Normal"/>
    <w:rsid w:val="00370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FCC"/>
    <w:pPr>
      <w:spacing w:before="60" w:after="60"/>
    </w:pPr>
  </w:style>
  <w:style w:type="paragraph" w:styleId="ListContinue">
    <w:name w:val="List Continue"/>
    <w:basedOn w:val="List"/>
    <w:rsid w:val="00370FCC"/>
    <w:pPr>
      <w:ind w:firstLine="0"/>
    </w:pPr>
  </w:style>
  <w:style w:type="paragraph" w:customStyle="1" w:styleId="ListNote">
    <w:name w:val="List Note"/>
    <w:basedOn w:val="List"/>
    <w:rsid w:val="00370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FCC"/>
    <w:rPr>
      <w:rFonts w:ascii="Courier New" w:hAnsi="Courier New"/>
    </w:rPr>
  </w:style>
  <w:style w:type="paragraph" w:customStyle="1" w:styleId="NoteBullet">
    <w:name w:val="Note Bullet"/>
    <w:basedOn w:val="Note"/>
    <w:rsid w:val="00370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F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FCC"/>
    <w:rPr>
      <w:b/>
      <w:smallCaps/>
    </w:rPr>
  </w:style>
  <w:style w:type="paragraph" w:customStyle="1" w:styleId="TableListNumber">
    <w:name w:val="Table List Number"/>
    <w:basedOn w:val="ListNumber"/>
    <w:rsid w:val="00370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FCC"/>
    <w:pPr>
      <w:numPr>
        <w:numId w:val="9"/>
      </w:numPr>
    </w:pPr>
  </w:style>
  <w:style w:type="paragraph" w:customStyle="1" w:styleId="ListAlpha2">
    <w:name w:val="List Alpha 2"/>
    <w:basedOn w:val="List2"/>
    <w:rsid w:val="00370FCC"/>
    <w:pPr>
      <w:numPr>
        <w:numId w:val="8"/>
      </w:numPr>
    </w:pPr>
  </w:style>
  <w:style w:type="paragraph" w:styleId="List2">
    <w:name w:val="List 2"/>
    <w:basedOn w:val="BodyText"/>
    <w:rsid w:val="00370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F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F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FCC"/>
    <w:pPr>
      <w:numPr>
        <w:numId w:val="4"/>
      </w:numPr>
    </w:pPr>
  </w:style>
  <w:style w:type="paragraph" w:styleId="ListContinue2">
    <w:name w:val="List Continue 2"/>
    <w:basedOn w:val="List2"/>
    <w:rsid w:val="00370FCC"/>
    <w:pPr>
      <w:ind w:firstLine="0"/>
    </w:pPr>
  </w:style>
  <w:style w:type="paragraph" w:styleId="ListContinue3">
    <w:name w:val="List Continue 3"/>
    <w:basedOn w:val="List3"/>
    <w:rsid w:val="00370FCC"/>
    <w:pPr>
      <w:ind w:left="1021" w:firstLine="0"/>
    </w:pPr>
  </w:style>
  <w:style w:type="paragraph" w:styleId="ListContinue4">
    <w:name w:val="List Continue 4"/>
    <w:basedOn w:val="List4"/>
    <w:rsid w:val="00370FCC"/>
    <w:pPr>
      <w:ind w:firstLine="0"/>
    </w:pPr>
  </w:style>
  <w:style w:type="paragraph" w:styleId="ListContinue5">
    <w:name w:val="List Continue 5"/>
    <w:basedOn w:val="List5"/>
    <w:rsid w:val="00370FCC"/>
    <w:pPr>
      <w:ind w:firstLine="0"/>
    </w:pPr>
  </w:style>
  <w:style w:type="paragraph" w:styleId="ListNumber3">
    <w:name w:val="List Number 3"/>
    <w:basedOn w:val="List3"/>
    <w:rsid w:val="00370FCC"/>
    <w:pPr>
      <w:numPr>
        <w:numId w:val="5"/>
      </w:numPr>
    </w:pPr>
  </w:style>
  <w:style w:type="paragraph" w:styleId="ListNumber4">
    <w:name w:val="List Number 4"/>
    <w:basedOn w:val="List4"/>
    <w:rsid w:val="00370FCC"/>
    <w:pPr>
      <w:numPr>
        <w:numId w:val="6"/>
      </w:numPr>
    </w:pPr>
  </w:style>
  <w:style w:type="paragraph" w:styleId="ListNumber5">
    <w:name w:val="List Number 5"/>
    <w:basedOn w:val="List5"/>
    <w:rsid w:val="00370FCC"/>
    <w:pPr>
      <w:numPr>
        <w:numId w:val="7"/>
      </w:numPr>
    </w:pPr>
  </w:style>
  <w:style w:type="paragraph" w:styleId="BlockText">
    <w:name w:val="Block Text"/>
    <w:basedOn w:val="Normal"/>
    <w:rsid w:val="00370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FCC"/>
    <w:rPr>
      <w:sz w:val="16"/>
      <w:vertAlign w:val="superscript"/>
    </w:rPr>
  </w:style>
  <w:style w:type="character" w:customStyle="1" w:styleId="Symbols">
    <w:name w:val="Symbols"/>
    <w:basedOn w:val="DefaultParagraphFont"/>
    <w:rsid w:val="00370FCC"/>
    <w:rPr>
      <w:rFonts w:ascii="Symbol" w:hAnsi="Symbol"/>
    </w:rPr>
  </w:style>
  <w:style w:type="character" w:customStyle="1" w:styleId="MenuOptions">
    <w:name w:val="Menu Options"/>
    <w:basedOn w:val="DefaultParagraphFont"/>
    <w:rsid w:val="00370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FCC"/>
    <w:rPr>
      <w:b/>
    </w:rPr>
  </w:style>
  <w:style w:type="character" w:customStyle="1" w:styleId="Underlined">
    <w:name w:val="Underlined"/>
    <w:basedOn w:val="DefaultParagraphFont"/>
    <w:rsid w:val="00370FCC"/>
    <w:rPr>
      <w:u w:val="single"/>
    </w:rPr>
  </w:style>
  <w:style w:type="paragraph" w:customStyle="1" w:styleId="TableBodyTextRight">
    <w:name w:val="Table Body Text Right"/>
    <w:basedOn w:val="TableBodyText"/>
    <w:rsid w:val="00370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FCC"/>
    <w:rPr>
      <w:sz w:val="18"/>
    </w:rPr>
  </w:style>
  <w:style w:type="paragraph" w:customStyle="1" w:styleId="BodySmallRight">
    <w:name w:val="Body Small Right"/>
    <w:basedOn w:val="BodyTextRight"/>
    <w:rsid w:val="00370FCC"/>
    <w:rPr>
      <w:sz w:val="18"/>
      <w:szCs w:val="18"/>
    </w:rPr>
  </w:style>
  <w:style w:type="paragraph" w:customStyle="1" w:styleId="MarginEdition">
    <w:name w:val="Margin Edition"/>
    <w:basedOn w:val="MarginNote"/>
    <w:rsid w:val="00370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FCC"/>
    <w:rPr>
      <w:sz w:val="2"/>
      <w:szCs w:val="2"/>
    </w:rPr>
  </w:style>
  <w:style w:type="character" w:customStyle="1" w:styleId="Small">
    <w:name w:val="Small"/>
    <w:basedOn w:val="DefaultParagraphFont"/>
    <w:rsid w:val="00370FCC"/>
    <w:rPr>
      <w:sz w:val="16"/>
    </w:rPr>
  </w:style>
  <w:style w:type="paragraph" w:customStyle="1" w:styleId="WideTable">
    <w:name w:val="Wide Table"/>
    <w:basedOn w:val="Normal"/>
    <w:rsid w:val="00370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FCC"/>
  </w:style>
  <w:style w:type="paragraph" w:styleId="Quote">
    <w:name w:val="Quote"/>
    <w:basedOn w:val="Heading1"/>
    <w:link w:val="QuoteChar"/>
    <w:qFormat/>
    <w:rsid w:val="00370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FCC"/>
    <w:pPr>
      <w:pageBreakBefore/>
    </w:pPr>
  </w:style>
  <w:style w:type="paragraph" w:customStyle="1" w:styleId="Border">
    <w:name w:val="Border"/>
    <w:basedOn w:val="Normal"/>
    <w:qFormat/>
    <w:rsid w:val="00370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FCC"/>
    <w:rPr>
      <w:u w:val="single"/>
    </w:rPr>
  </w:style>
  <w:style w:type="character" w:customStyle="1" w:styleId="BoldandItalics">
    <w:name w:val="Bold and Italics"/>
    <w:qFormat/>
    <w:rsid w:val="00370FCC"/>
    <w:rPr>
      <w:b/>
      <w:i/>
      <w:u w:val="none"/>
    </w:rPr>
  </w:style>
  <w:style w:type="paragraph" w:styleId="BalloonText">
    <w:name w:val="Balloon Text"/>
    <w:basedOn w:val="Normal"/>
    <w:link w:val="BalloonTextChar"/>
    <w:rsid w:val="00370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FCC"/>
    <w:pPr>
      <w:spacing w:before="0" w:after="0"/>
    </w:pPr>
  </w:style>
  <w:style w:type="paragraph" w:customStyle="1" w:styleId="BodyTextBold">
    <w:name w:val="Body Text Bold"/>
    <w:basedOn w:val="BodyText"/>
    <w:qFormat/>
    <w:rsid w:val="00370FCC"/>
    <w:rPr>
      <w:b/>
    </w:rPr>
  </w:style>
  <w:style w:type="character" w:styleId="Hyperlink">
    <w:name w:val="Hyperlink"/>
    <w:basedOn w:val="DefaultParagraphFont"/>
    <w:uiPriority w:val="99"/>
    <w:unhideWhenUsed/>
    <w:rsid w:val="00F47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4561</Characters>
  <Application>Microsoft Office Word</Application>
  <DocSecurity>0</DocSecurity>
  <Lines>130</Lines>
  <Paragraphs>88</Paragraphs>
  <ScaleCrop>false</ScaleCrop>
  <Company>Author-it Software Corporation Ltd.</Company>
  <LinksUpToDate>false</LinksUpToDate>
  <CharactersWithSpaces>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PMBTECH405E Repair damaged fibre-composites structures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