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099" w:rsidP="00797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PMBTECH403E Test thermoset composite laminates and materials</w:t>
      </w:r>
      <w:r>
        <w:fldChar w:fldCharType="end"/>
      </w:r>
    </w:p>
    <w:p w:rsidR="00797099" w:rsidP="00797099">
      <w:pPr>
        <w:pStyle w:val="Version"/>
        <w:sectPr w:rsidSect="00F03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A28" w:rsidP="00F03A28">
      <w:pPr>
        <w:pStyle w:val="SuperHeading"/>
      </w:pPr>
      <w:r w:rsidRPr="00F03A28">
        <w:t>PMBTECH403E Test thermoset composite laminates and materials</w:t>
      </w:r>
    </w:p>
    <w:p w:rsidR="00000000" w:rsidRPr="00F03A28" w:rsidP="00F03A28">
      <w:pPr>
        <w:pStyle w:val="Heading1"/>
      </w:pPr>
      <w:bookmarkStart w:id="1" w:name="O_1115825"/>
      <w:bookmarkEnd w:id="1"/>
      <w:r w:rsidRPr="00F03A28">
        <w:t>Modification History</w:t>
      </w:r>
    </w:p>
    <w:p w:rsidR="00000000" w:rsidRPr="00F03A28" w:rsidP="00797099">
      <w:pPr>
        <w:pStyle w:val="BodyText"/>
      </w:pPr>
      <w:r w:rsidRPr="00F03A28">
        <w:t>Release 1. Unit code and title changed. Application changed. Elements and Performance Criteria changed. Range of Conditions removed. Assessment Requirements changed. Supersedes and is equivalent to PMBTECH403 Test fib</w:t>
      </w:r>
      <w:r w:rsidRPr="00F03A28">
        <w:t>re-composites materials and laminates.</w:t>
      </w:r>
    </w:p>
    <w:p w:rsidR="00000000" w:rsidRPr="00F03A28" w:rsidP="00F03A28">
      <w:pPr>
        <w:pStyle w:val="Heading1"/>
      </w:pPr>
      <w:bookmarkStart w:id="2" w:name="O_1115826"/>
      <w:bookmarkEnd w:id="2"/>
      <w:r w:rsidRPr="00F03A28">
        <w:t>Application</w:t>
      </w:r>
    </w:p>
    <w:p w:rsidR="00000000" w:rsidRPr="00F03A28" w:rsidP="00797099">
      <w:pPr>
        <w:pStyle w:val="BodyText"/>
      </w:pPr>
      <w:r w:rsidRPr="00F03A28">
        <w:t>This unit describes the skills and knowledge required to test thermoset composite raw materials and products for conformance with design specifications and characteristics.</w:t>
      </w:r>
    </w:p>
    <w:p w:rsidR="00000000" w:rsidRPr="00F03A28" w:rsidP="00797099">
      <w:pPr>
        <w:pStyle w:val="BodyText"/>
      </w:pPr>
      <w:r w:rsidRPr="00F03A28">
        <w:t>This unit app</w:t>
      </w:r>
      <w:r w:rsidRPr="00F03A28">
        <w:t>lies to an experienced technician working alone or as part of a team.</w:t>
      </w:r>
    </w:p>
    <w:p w:rsidR="00000000" w:rsidRPr="00F03A28" w:rsidP="00797099">
      <w:pPr>
        <w:pStyle w:val="BodyText"/>
      </w:pPr>
      <w:r w:rsidRPr="00F03A28">
        <w:t>The unit principally refers to testing procedure guidance from industry standards, laminating production experience and personal judgement.</w:t>
      </w:r>
    </w:p>
    <w:p w:rsidR="00000000" w:rsidRPr="00F03A28" w:rsidP="00797099">
      <w:pPr>
        <w:pStyle w:val="BodyText"/>
      </w:pPr>
      <w:r w:rsidRPr="00F03A28">
        <w:t>No licensing or certification requirements exi</w:t>
      </w:r>
      <w:r w:rsidRPr="00F03A28">
        <w:t>st at the time of publication. Relevant legislation, industry standards and codes of practice within Australia must be applied.</w:t>
      </w:r>
    </w:p>
    <w:p w:rsidR="00000000" w:rsidRPr="00F03A28" w:rsidP="00F03A28">
      <w:pPr>
        <w:pStyle w:val="Heading1"/>
      </w:pPr>
      <w:bookmarkStart w:id="3" w:name="O_1115827"/>
      <w:bookmarkEnd w:id="3"/>
      <w:r w:rsidRPr="00F03A28">
        <w:t>Pre-requisite Unit</w:t>
      </w:r>
    </w:p>
    <w:p w:rsidR="00000000" w:rsidRPr="00F03A28" w:rsidP="00797099">
      <w:pPr>
        <w:pStyle w:val="BodyText"/>
      </w:pPr>
      <w:r w:rsidRPr="00F03A28">
        <w:t>Nil.</w:t>
      </w:r>
    </w:p>
    <w:p w:rsidR="00000000" w:rsidRPr="00F03A28" w:rsidP="00F03A28">
      <w:pPr>
        <w:pStyle w:val="Heading1"/>
      </w:pPr>
      <w:bookmarkStart w:id="4" w:name="O_1115828"/>
      <w:bookmarkEnd w:id="4"/>
      <w:r w:rsidRPr="00F03A28">
        <w:t>Competency Field</w:t>
      </w:r>
    </w:p>
    <w:p w:rsidR="00000000" w:rsidRPr="00F03A28" w:rsidP="00797099">
      <w:pPr>
        <w:pStyle w:val="BodyText"/>
      </w:pPr>
      <w:r w:rsidRPr="00F03A28">
        <w:t xml:space="preserve">Technical – Composites </w:t>
      </w:r>
    </w:p>
    <w:p w:rsidR="00000000" w:rsidRPr="00F03A28" w:rsidP="00F03A28">
      <w:pPr>
        <w:pStyle w:val="Heading1"/>
      </w:pPr>
      <w:bookmarkStart w:id="5" w:name="O_1115830"/>
      <w:bookmarkEnd w:id="5"/>
      <w:r w:rsidRPr="00F03A28">
        <w:t>Elemen</w:t>
      </w:r>
      <w:r w:rsidRPr="00F03A28">
        <w:t>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03A2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8" w:rsidP="00F03A28">
            <w:pPr>
              <w:pStyle w:val="BodyText"/>
            </w:pPr>
            <w:r w:rsidRPr="00F03A28">
              <w:rPr>
                <w:rStyle w:val="SpecialBold"/>
              </w:rPr>
              <w:t>Elements</w:t>
            </w:r>
          </w:p>
          <w:p w:rsidR="00000000" w:rsidRPr="00F03A28" w:rsidP="00F03A28">
            <w:pPr>
              <w:pStyle w:val="BodyText"/>
            </w:pPr>
            <w:r w:rsidRPr="00F03A2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8" w:rsidP="00F03A28">
            <w:pPr>
              <w:pStyle w:val="BodyText"/>
            </w:pPr>
            <w:r w:rsidRPr="00F03A28">
              <w:rPr>
                <w:rStyle w:val="SpecialBold"/>
              </w:rPr>
              <w:t>Performance Criteria</w:t>
            </w:r>
          </w:p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Performance criteria describe the performance needed to demonstrate achievement of the element.</w:t>
            </w:r>
          </w:p>
        </w:tc>
      </w:tr>
      <w:tr w:rsidTr="00F03A2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1. Determine test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8" w:rsidP="00F03A28">
            <w:pPr>
              <w:pStyle w:val="BodyText"/>
            </w:pPr>
            <w:r w:rsidRPr="00F03A28">
              <w:t>1.1 Identify properties to be measured from test brief</w:t>
            </w:r>
          </w:p>
          <w:p w:rsidR="00000000" w:rsidRPr="00F03A28" w:rsidP="00F03A28">
            <w:pPr>
              <w:pStyle w:val="BodyText"/>
            </w:pPr>
            <w:r w:rsidRPr="00F03A28">
              <w:t xml:space="preserve">1.2 Identify appropriate test method that will return valid property measures </w:t>
            </w:r>
          </w:p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1.3 Select testing equipment that matches identified test methods</w:t>
            </w:r>
          </w:p>
        </w:tc>
      </w:tr>
      <w:tr w:rsidTr="00F03A2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2. Perform raw material tests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8" w:rsidP="00F03A28">
            <w:pPr>
              <w:pStyle w:val="BodyText"/>
            </w:pPr>
            <w:r w:rsidRPr="00F03A28">
              <w:t>2.1 Prepare raw materials</w:t>
            </w:r>
            <w:r w:rsidRPr="00F03A28">
              <w:t xml:space="preserve"> samples for testing according to selected test method</w:t>
            </w:r>
          </w:p>
          <w:p w:rsidR="00000000" w:rsidRPr="00F03A28" w:rsidP="00F03A28">
            <w:pPr>
              <w:pStyle w:val="BodyText"/>
            </w:pPr>
            <w:r w:rsidRPr="00F03A28">
              <w:t>2.2 Perform tests on raw materials according to selected test method</w:t>
            </w:r>
          </w:p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2.3 Record and interpret test results, and compare with manufacturer material data sheets</w:t>
            </w:r>
          </w:p>
        </w:tc>
      </w:tr>
      <w:tr w:rsidTr="00F03A2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3. Perform moulded product tests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8" w:rsidP="00F03A28">
            <w:pPr>
              <w:pStyle w:val="BodyText"/>
            </w:pPr>
            <w:r w:rsidRPr="00F03A28">
              <w:t>3.1 Prep</w:t>
            </w:r>
            <w:r w:rsidRPr="00F03A28">
              <w:t>are moulded product samples for testing according to selected test method</w:t>
            </w:r>
          </w:p>
          <w:p w:rsidR="00000000" w:rsidRPr="00F03A28" w:rsidP="00F03A28">
            <w:pPr>
              <w:pStyle w:val="BodyText"/>
            </w:pPr>
            <w:r w:rsidRPr="00F03A28">
              <w:t xml:space="preserve">3.2 Perform tests on moulded products according to selected test method </w:t>
            </w:r>
          </w:p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3.3 Record and interpret test results and compare against quality specifications</w:t>
            </w:r>
          </w:p>
        </w:tc>
      </w:tr>
      <w:tr w:rsidTr="00F03A2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28">
            <w:pPr>
              <w:pStyle w:val="BodyText"/>
              <w:rPr>
                <w:lang w:val="en-NZ"/>
              </w:rPr>
            </w:pPr>
            <w:r w:rsidRPr="00F03A28">
              <w:t>4. Record and report test r</w:t>
            </w:r>
            <w:r w:rsidRPr="00F03A28">
              <w:t>esults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28" w:rsidP="00F03A28">
            <w:pPr>
              <w:pStyle w:val="BodyText"/>
            </w:pPr>
            <w:r w:rsidRPr="00F03A28">
              <w:t xml:space="preserve">4.1 Document tests undertaken, including method, sampling techniques and results </w:t>
            </w:r>
          </w:p>
          <w:p w:rsidR="00000000" w:rsidRPr="00F03A28" w:rsidP="00F03A28">
            <w:pPr>
              <w:pStyle w:val="BodyText"/>
            </w:pPr>
            <w:r w:rsidRPr="00F03A28">
              <w:t>4.2 Compare results with expected quality standards</w:t>
            </w:r>
          </w:p>
          <w:p w:rsidR="00000000" w:rsidRPr="00F03A28" w:rsidP="00F03A28">
            <w:pPr>
              <w:pStyle w:val="BodyText"/>
            </w:pPr>
            <w:r w:rsidRPr="00F03A28">
              <w:t xml:space="preserve">4.3 Recommend raw materials and processes, including process controls, to achieve product requirements based on test results </w:t>
            </w:r>
          </w:p>
        </w:tc>
      </w:tr>
    </w:tbl>
    <w:p w:rsidR="00000000" w:rsidRPr="00F03A28" w:rsidP="00F03A28">
      <w:pPr>
        <w:pStyle w:val="BodyText"/>
      </w:pPr>
    </w:p>
    <w:p w:rsidR="00000000" w:rsidRPr="00F03A28" w:rsidP="00F03A28">
      <w:pPr>
        <w:pStyle w:val="AllowPageBreak"/>
      </w:pPr>
    </w:p>
    <w:p w:rsidR="00000000" w:rsidRPr="00F03A28" w:rsidP="00F03A28">
      <w:pPr>
        <w:pStyle w:val="Heading1"/>
      </w:pPr>
      <w:bookmarkStart w:id="6" w:name="O_1115831"/>
      <w:bookmarkEnd w:id="6"/>
      <w:r w:rsidRPr="00F03A28">
        <w:t>Foundation Skills</w:t>
      </w:r>
    </w:p>
    <w:p w:rsidR="00000000" w:rsidRPr="00F03A28" w:rsidP="00797099">
      <w:pPr>
        <w:pStyle w:val="BodyText"/>
      </w:pPr>
      <w:r w:rsidRPr="00F03A28">
        <w:t>This section describes those language, literacy, numeracy and employment skills that are es</w:t>
      </w:r>
      <w:r w:rsidRPr="00F03A28">
        <w:t xml:space="preserve">sential to performance. </w:t>
      </w:r>
    </w:p>
    <w:p w:rsidR="00000000" w:rsidRPr="00F03A28" w:rsidP="00F03A28">
      <w:pPr>
        <w:pStyle w:val="ListBullet"/>
      </w:pPr>
      <w:r w:rsidRPr="00F03A28">
        <w:t>Numeracy skills to record, interpret and analyse test result data.</w:t>
      </w:r>
    </w:p>
    <w:p w:rsidR="00000000" w:rsidRPr="00F03A28" w:rsidP="00F03A28">
      <w:pPr>
        <w:pStyle w:val="ListBullet"/>
      </w:pPr>
      <w:r w:rsidRPr="00F03A28">
        <w:t>Reading skills to identify test requirements from product design specifications and characteristics.</w:t>
      </w:r>
    </w:p>
    <w:p w:rsidR="00000000" w:rsidRPr="00F03A28" w:rsidP="00F03A28">
      <w:pPr>
        <w:pStyle w:val="ListBullet"/>
      </w:pPr>
      <w:r w:rsidRPr="00F03A28">
        <w:t xml:space="preserve">Writing and oral communication skills to record and report on </w:t>
      </w:r>
      <w:r w:rsidRPr="00F03A28">
        <w:t>test procedures and results, and make recommendations.</w:t>
      </w:r>
    </w:p>
    <w:p w:rsidR="00000000" w:rsidRPr="00797099" w:rsidP="00797099">
      <w:pPr>
        <w:pStyle w:val="BodyText"/>
        <w:rPr>
          <w:i/>
        </w:rPr>
      </w:pPr>
      <w:r w:rsidRPr="00797099">
        <w:rPr>
          <w:rStyle w:val="Emphasis"/>
        </w:rPr>
        <w:t>Other foundation skills essential to performance are explicit in the performance criteria of this unit of competency.</w:t>
      </w:r>
    </w:p>
    <w:p w:rsidR="00000000" w:rsidRPr="00F03A28" w:rsidP="00F03A28">
      <w:pPr>
        <w:pStyle w:val="Heading1"/>
      </w:pPr>
      <w:bookmarkStart w:id="7" w:name="O_1115833"/>
      <w:bookmarkEnd w:id="7"/>
      <w:r w:rsidRPr="00F03A28">
        <w:t>Unit Mapping Information</w:t>
      </w:r>
    </w:p>
    <w:p w:rsidR="00000000" w:rsidRPr="00F03A28" w:rsidP="00797099">
      <w:pPr>
        <w:pStyle w:val="BodyText"/>
      </w:pPr>
      <w:r w:rsidRPr="00F03A28">
        <w:t>Supersedes and is equivalent to PMBTECH403 Test fibre-composites materials and laminates.</w:t>
      </w:r>
    </w:p>
    <w:p w:rsidR="00000000" w:rsidRPr="00F03A28" w:rsidP="00F03A28">
      <w:pPr>
        <w:pStyle w:val="Heading1"/>
      </w:pPr>
      <w:bookmarkStart w:id="8" w:name="O_1115840"/>
      <w:bookmarkEnd w:id="8"/>
      <w:r w:rsidRPr="00F03A28">
        <w:t>Links</w:t>
      </w:r>
    </w:p>
    <w:p w:rsidR="00000000" w:rsidRPr="00F03A28" w:rsidP="00797099">
      <w:pPr>
        <w:pStyle w:val="BodyText"/>
      </w:pPr>
      <w:r w:rsidRPr="00F03A2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51A9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03A28" w:rsidP="00797099">
      <w:pPr>
        <w:pStyle w:val="BodyText"/>
        <w:sectPr w:rsidSect="00F03A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A28" w:rsidP="00F03A28">
      <w:pPr>
        <w:pStyle w:val="SuperHeading"/>
      </w:pPr>
      <w:r w:rsidRPr="00F03A28">
        <w:t>Assessment Requirements for PMBTECH403E Test thermoset composite laminates and materials</w:t>
      </w:r>
    </w:p>
    <w:p w:rsidR="00000000" w:rsidRPr="00F03A28" w:rsidP="00F03A28">
      <w:pPr>
        <w:pStyle w:val="Heading1"/>
      </w:pPr>
      <w:bookmarkStart w:id="9" w:name="O_1115835"/>
      <w:bookmarkEnd w:id="9"/>
      <w:r w:rsidRPr="00F03A28">
        <w:t>Modification History</w:t>
      </w:r>
    </w:p>
    <w:p w:rsidR="00000000" w:rsidRPr="00F03A28" w:rsidP="00797099">
      <w:pPr>
        <w:pStyle w:val="BodyText"/>
      </w:pPr>
      <w:r w:rsidRPr="00F03A28">
        <w:t xml:space="preserve">Release 1. Unit code and title changed. Application changed. Elements and </w:t>
      </w:r>
      <w:r w:rsidRPr="00F03A28">
        <w:t>Performance Criteria changed. Range of Conditions removed. Assessment Requirements changed. Supersedes and is equivalent to PMBTECH403 Test fibre-composites materials and laminates.</w:t>
      </w:r>
    </w:p>
    <w:p w:rsidR="00000000" w:rsidRPr="00F03A28" w:rsidP="00F03A28">
      <w:pPr>
        <w:pStyle w:val="Heading1"/>
      </w:pPr>
      <w:bookmarkStart w:id="10" w:name="O_1115836"/>
      <w:bookmarkEnd w:id="10"/>
      <w:r w:rsidRPr="00F03A28">
        <w:t>Performance Evidence</w:t>
      </w:r>
    </w:p>
    <w:p w:rsidR="00000000" w:rsidRPr="00F03A28" w:rsidP="00797099">
      <w:pPr>
        <w:pStyle w:val="BodyText"/>
      </w:pPr>
      <w:r w:rsidRPr="00F03A28">
        <w:t>There must be evidence the candida</w:t>
      </w:r>
      <w:r w:rsidRPr="00F03A28">
        <w:t>te has completed the tasks outlined in the elements and performance criteria of this unit, and demonstrated the ability to:</w:t>
      </w:r>
    </w:p>
    <w:p w:rsidR="00000000" w:rsidRPr="00F03A28" w:rsidP="00F03A28">
      <w:pPr>
        <w:pStyle w:val="ListBullet"/>
      </w:pPr>
      <w:r w:rsidRPr="00F03A28">
        <w:t>test thermoset composites laminates and materials at least once to meet design specifications and characteristics.</w:t>
      </w:r>
    </w:p>
    <w:p w:rsidR="00000000" w:rsidRPr="00F03A28" w:rsidP="00F03A28">
      <w:pPr>
        <w:pStyle w:val="AllowPageBreak"/>
      </w:pPr>
    </w:p>
    <w:p w:rsidR="00000000" w:rsidRPr="00F03A28" w:rsidP="00F03A28">
      <w:pPr>
        <w:pStyle w:val="Heading1"/>
      </w:pPr>
      <w:bookmarkStart w:id="11" w:name="O_1115837"/>
      <w:bookmarkEnd w:id="11"/>
      <w:r w:rsidRPr="00F03A28">
        <w:t>Knowledge Evidence</w:t>
      </w:r>
    </w:p>
    <w:p w:rsidR="00000000" w:rsidRPr="00F03A28" w:rsidP="00797099">
      <w:pPr>
        <w:pStyle w:val="BodyText"/>
      </w:pPr>
      <w:r w:rsidRPr="00F03A28">
        <w:t>There must be evidence the candidate has knowledge of:</w:t>
      </w:r>
    </w:p>
    <w:p w:rsidR="00000000" w:rsidRPr="00F03A28" w:rsidP="00F03A28">
      <w:pPr>
        <w:pStyle w:val="ListBullet"/>
      </w:pPr>
      <w:r w:rsidRPr="00F03A28">
        <w:t>types of tests, and their purposes and functions, including:</w:t>
      </w:r>
    </w:p>
    <w:p w:rsidR="00000000" w:rsidRPr="00F03A28" w:rsidP="00F03A28">
      <w:pPr>
        <w:pStyle w:val="ListBullet2"/>
      </w:pPr>
      <w:r w:rsidRPr="00F03A28">
        <w:t>raw material applications (for example, resin viscosity, specific gravity of resins and gelcoats, gel time, resin ex</w:t>
      </w:r>
      <w:r w:rsidRPr="00F03A28">
        <w:t>otherm, monomer content, heat deflection temperature, styrene emission, resin colour, and gelcoat water resistance)</w:t>
      </w:r>
    </w:p>
    <w:p w:rsidR="00000000" w:rsidRPr="00F03A28" w:rsidP="00F03A28">
      <w:pPr>
        <w:pStyle w:val="ListBullet2"/>
      </w:pPr>
      <w:r w:rsidRPr="00F03A28">
        <w:t>laminate applications (for example, Barcol hardness, tensile strength and elongation, compressive strength, flexural strength and flexural modulus, impact strength, glass content, water absorption, product weathering capabilities, dielectric strength, flam</w:t>
      </w:r>
      <w:r w:rsidRPr="00F03A28">
        <w:t>mability, acid and alkali resistance, and thickness testing)</w:t>
      </w:r>
    </w:p>
    <w:p w:rsidR="00000000" w:rsidRPr="00F03A28" w:rsidP="00F03A28">
      <w:pPr>
        <w:pStyle w:val="ListBullet2"/>
      </w:pPr>
      <w:r w:rsidRPr="00F03A28">
        <w:t xml:space="preserve">test applications (for example, comparing use of common resins and reinforcements in laminates, comparing the tensile strength of given laminates with metals, and comparing test failure modes of </w:t>
      </w:r>
      <w:r w:rsidRPr="00F03A28">
        <w:t>laminate samples with metals)</w:t>
      </w:r>
    </w:p>
    <w:p w:rsidR="00000000" w:rsidRPr="00F03A28" w:rsidP="00F03A28">
      <w:pPr>
        <w:pStyle w:val="ListBullet"/>
      </w:pPr>
      <w:r w:rsidRPr="00F03A28">
        <w:t>role of testing in quality control and quality assurance procedures.</w:t>
      </w:r>
    </w:p>
    <w:p w:rsidR="00000000" w:rsidRPr="00F03A28" w:rsidP="00F03A28">
      <w:pPr>
        <w:pStyle w:val="AllowPageBreak"/>
      </w:pPr>
    </w:p>
    <w:p w:rsidR="00000000" w:rsidRPr="00F03A28" w:rsidP="00F03A28">
      <w:pPr>
        <w:pStyle w:val="Heading1"/>
      </w:pPr>
      <w:bookmarkStart w:id="12" w:name="O_1115838"/>
      <w:bookmarkEnd w:id="12"/>
      <w:r w:rsidRPr="00F03A28">
        <w:t>Assessment Conditions</w:t>
      </w:r>
    </w:p>
    <w:p w:rsidR="00000000" w:rsidRPr="00F03A28" w:rsidP="00797099">
      <w:pPr>
        <w:pStyle w:val="BodyText"/>
      </w:pPr>
      <w:r w:rsidRPr="00F03A28">
        <w:t>Skills must have been demonstrated in the workplace or in a simulated environment that reflects workplace conditions and contingencies</w:t>
      </w:r>
    </w:p>
    <w:p w:rsidR="00000000" w:rsidRPr="00F03A28" w:rsidP="00797099">
      <w:pPr>
        <w:pStyle w:val="BodyText"/>
      </w:pPr>
      <w:r w:rsidRPr="00F03A28">
        <w:t>Assessors must satisfy the NVR/AQTF mandatory competency requirements for assessors.</w:t>
      </w:r>
    </w:p>
    <w:p w:rsidR="00000000" w:rsidRPr="00F03A28" w:rsidP="00F03A28">
      <w:pPr>
        <w:pStyle w:val="Heading1"/>
      </w:pPr>
      <w:bookmarkStart w:id="13" w:name="O_1115841"/>
      <w:bookmarkEnd w:id="13"/>
      <w:r w:rsidRPr="00F03A28">
        <w:t>Links</w:t>
      </w:r>
    </w:p>
    <w:p w:rsidR="00000000" w:rsidRPr="00F03A28" w:rsidP="00797099">
      <w:pPr>
        <w:pStyle w:val="BodyText"/>
      </w:pPr>
      <w:r w:rsidRPr="00F03A28">
        <w:t>Companion V</w:t>
      </w:r>
      <w:r w:rsidRPr="00F03A28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51A9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03A28" w:rsidP="00F03A28"/>
    <w:sectPr w:rsidSect="00F03A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8" w:rsidRPr="00797099" w:rsidP="00797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99" w:rsidP="00F03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099" w:rsidP="00F03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7099" w:rsidP="00F03A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8" w:rsidP="00F03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7099">
      <w:t>Approved</w:t>
    </w:r>
    <w:r w:rsidR="007970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70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7099">
      <w:rPr>
        <w:noProof/>
      </w:rPr>
      <w:t>4</w:t>
    </w:r>
    <w:r>
      <w:rPr>
        <w:noProof/>
      </w:rPr>
      <w:fldChar w:fldCharType="end"/>
    </w:r>
  </w:p>
  <w:p w:rsidR="00F03A28" w:rsidP="00F03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70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7099">
      <w:t>Manufacturing Industry Skills Alliance</w:t>
    </w:r>
    <w:r w:rsidR="00797099">
      <w:fldChar w:fldCharType="end"/>
    </w:r>
  </w:p>
  <w:p w:rsidR="00F03A28" w:rsidP="00F03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A28" w:rsidRPr="00797099" w:rsidP="00797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99" w:rsidRPr="002D2AF8" w:rsidP="00F03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PMBTECH403E Test thermoset composite laminates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97099" w:rsidP="00F03A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28" w:rsidRPr="002D2AF8" w:rsidP="00F03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7099">
      <w:t>PMBTECH403E Test thermoset composite laminates and materials</w:t>
    </w:r>
    <w:r w:rsidR="007970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7099">
      <w:rPr>
        <w:noProof/>
      </w:rPr>
      <w:t>1 March 2025</w:t>
    </w:r>
    <w:r>
      <w:fldChar w:fldCharType="end"/>
    </w:r>
  </w:p>
  <w:p w:rsidR="00F03A28" w:rsidP="00F03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EA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74E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0EA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A28"/>
  </w:style>
  <w:style w:type="character" w:customStyle="1" w:styleId="Heading1Char">
    <w:name w:val="Heading 1 Char"/>
    <w:basedOn w:val="DefaultParagraphFont"/>
    <w:link w:val="Heading1"/>
    <w:rsid w:val="00F03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A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A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A28"/>
    <w:rPr>
      <w:b/>
      <w:spacing w:val="0"/>
    </w:rPr>
  </w:style>
  <w:style w:type="paragraph" w:styleId="ListBullet2">
    <w:name w:val="List Bullet 2"/>
    <w:basedOn w:val="List2"/>
    <w:rsid w:val="00F03A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A28"/>
    <w:rPr>
      <w:i/>
    </w:rPr>
  </w:style>
  <w:style w:type="paragraph" w:customStyle="1" w:styleId="SuperHeading">
    <w:name w:val="SuperHeading"/>
    <w:basedOn w:val="Normal"/>
    <w:rsid w:val="00F03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A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A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A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A28"/>
  </w:style>
  <w:style w:type="paragraph" w:styleId="TableofFigures">
    <w:name w:val="table of figures"/>
    <w:basedOn w:val="Normal"/>
    <w:next w:val="Normal"/>
    <w:semiHidden/>
    <w:rsid w:val="00F03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A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A28"/>
    <w:rPr>
      <w:rFonts w:ascii="Wingdings" w:hAnsi="Wingdings"/>
    </w:rPr>
  </w:style>
  <w:style w:type="paragraph" w:customStyle="1" w:styleId="TableHeading">
    <w:name w:val="Table Heading"/>
    <w:basedOn w:val="HeadingBase"/>
    <w:rsid w:val="00F03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A28"/>
    <w:rPr>
      <w:color w:val="0033CC"/>
      <w:u w:val="none"/>
    </w:rPr>
  </w:style>
  <w:style w:type="paragraph" w:customStyle="1" w:styleId="BodyTextRight">
    <w:name w:val="Body Text Right"/>
    <w:basedOn w:val="BodyText"/>
    <w:rsid w:val="00F03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A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A28"/>
    <w:rPr>
      <w:sz w:val="32"/>
    </w:rPr>
  </w:style>
  <w:style w:type="paragraph" w:customStyle="1" w:styleId="HeadingProcedure">
    <w:name w:val="Heading Procedure"/>
    <w:basedOn w:val="HeadingBase"/>
    <w:next w:val="Normal"/>
    <w:rsid w:val="00F03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A28"/>
    <w:pPr>
      <w:spacing w:before="60" w:after="60"/>
    </w:pPr>
  </w:style>
  <w:style w:type="paragraph" w:styleId="ListContinue">
    <w:name w:val="List Continue"/>
    <w:basedOn w:val="List"/>
    <w:rsid w:val="00F03A28"/>
    <w:pPr>
      <w:ind w:firstLine="0"/>
    </w:pPr>
  </w:style>
  <w:style w:type="paragraph" w:customStyle="1" w:styleId="ListNote">
    <w:name w:val="List Note"/>
    <w:basedOn w:val="List"/>
    <w:rsid w:val="00F03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A28"/>
    <w:rPr>
      <w:rFonts w:ascii="Courier New" w:hAnsi="Courier New"/>
    </w:rPr>
  </w:style>
  <w:style w:type="paragraph" w:customStyle="1" w:styleId="NoteBullet">
    <w:name w:val="Note Bullet"/>
    <w:basedOn w:val="Note"/>
    <w:rsid w:val="00F03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A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A28"/>
    <w:rPr>
      <w:b/>
      <w:smallCaps/>
    </w:rPr>
  </w:style>
  <w:style w:type="paragraph" w:customStyle="1" w:styleId="TableListNumber">
    <w:name w:val="Table List Number"/>
    <w:basedOn w:val="ListNumber"/>
    <w:rsid w:val="00F03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A28"/>
    <w:pPr>
      <w:numPr>
        <w:numId w:val="9"/>
      </w:numPr>
    </w:pPr>
  </w:style>
  <w:style w:type="paragraph" w:customStyle="1" w:styleId="ListAlpha2">
    <w:name w:val="List Alpha 2"/>
    <w:basedOn w:val="List2"/>
    <w:rsid w:val="00F03A28"/>
    <w:pPr>
      <w:numPr>
        <w:numId w:val="8"/>
      </w:numPr>
    </w:pPr>
  </w:style>
  <w:style w:type="paragraph" w:styleId="List2">
    <w:name w:val="List 2"/>
    <w:basedOn w:val="BodyText"/>
    <w:rsid w:val="00F03A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A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A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A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A28"/>
    <w:pPr>
      <w:numPr>
        <w:numId w:val="4"/>
      </w:numPr>
    </w:pPr>
  </w:style>
  <w:style w:type="paragraph" w:styleId="ListContinue2">
    <w:name w:val="List Continue 2"/>
    <w:basedOn w:val="List2"/>
    <w:rsid w:val="00F03A28"/>
    <w:pPr>
      <w:ind w:firstLine="0"/>
    </w:pPr>
  </w:style>
  <w:style w:type="paragraph" w:styleId="ListContinue3">
    <w:name w:val="List Continue 3"/>
    <w:basedOn w:val="List3"/>
    <w:rsid w:val="00F03A28"/>
    <w:pPr>
      <w:ind w:left="1021" w:firstLine="0"/>
    </w:pPr>
  </w:style>
  <w:style w:type="paragraph" w:styleId="ListContinue4">
    <w:name w:val="List Continue 4"/>
    <w:basedOn w:val="List4"/>
    <w:rsid w:val="00F03A28"/>
    <w:pPr>
      <w:ind w:firstLine="0"/>
    </w:pPr>
  </w:style>
  <w:style w:type="paragraph" w:styleId="ListContinue5">
    <w:name w:val="List Continue 5"/>
    <w:basedOn w:val="List5"/>
    <w:rsid w:val="00F03A28"/>
    <w:pPr>
      <w:ind w:firstLine="0"/>
    </w:pPr>
  </w:style>
  <w:style w:type="paragraph" w:styleId="ListNumber3">
    <w:name w:val="List Number 3"/>
    <w:basedOn w:val="List3"/>
    <w:rsid w:val="00F03A28"/>
    <w:pPr>
      <w:numPr>
        <w:numId w:val="5"/>
      </w:numPr>
    </w:pPr>
  </w:style>
  <w:style w:type="paragraph" w:styleId="ListNumber4">
    <w:name w:val="List Number 4"/>
    <w:basedOn w:val="List4"/>
    <w:rsid w:val="00F03A28"/>
    <w:pPr>
      <w:numPr>
        <w:numId w:val="6"/>
      </w:numPr>
    </w:pPr>
  </w:style>
  <w:style w:type="paragraph" w:styleId="ListNumber5">
    <w:name w:val="List Number 5"/>
    <w:basedOn w:val="List5"/>
    <w:rsid w:val="00F03A28"/>
    <w:pPr>
      <w:numPr>
        <w:numId w:val="7"/>
      </w:numPr>
    </w:pPr>
  </w:style>
  <w:style w:type="paragraph" w:styleId="BlockText">
    <w:name w:val="Block Text"/>
    <w:basedOn w:val="Normal"/>
    <w:rsid w:val="00F03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A28"/>
    <w:rPr>
      <w:sz w:val="16"/>
      <w:vertAlign w:val="superscript"/>
    </w:rPr>
  </w:style>
  <w:style w:type="character" w:customStyle="1" w:styleId="Symbols">
    <w:name w:val="Symbols"/>
    <w:basedOn w:val="DefaultParagraphFont"/>
    <w:rsid w:val="00F03A28"/>
    <w:rPr>
      <w:rFonts w:ascii="Symbol" w:hAnsi="Symbol"/>
    </w:rPr>
  </w:style>
  <w:style w:type="character" w:customStyle="1" w:styleId="MenuOptions">
    <w:name w:val="Menu Options"/>
    <w:basedOn w:val="DefaultParagraphFont"/>
    <w:rsid w:val="00F03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A28"/>
    <w:rPr>
      <w:b/>
    </w:rPr>
  </w:style>
  <w:style w:type="character" w:customStyle="1" w:styleId="Underlined">
    <w:name w:val="Underlined"/>
    <w:basedOn w:val="DefaultParagraphFont"/>
    <w:rsid w:val="00F03A28"/>
    <w:rPr>
      <w:u w:val="single"/>
    </w:rPr>
  </w:style>
  <w:style w:type="paragraph" w:customStyle="1" w:styleId="TableBodyTextRight">
    <w:name w:val="Table Body Text Right"/>
    <w:basedOn w:val="TableBodyText"/>
    <w:rsid w:val="00F03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A28"/>
    <w:rPr>
      <w:sz w:val="18"/>
    </w:rPr>
  </w:style>
  <w:style w:type="paragraph" w:customStyle="1" w:styleId="BodySmallRight">
    <w:name w:val="Body Small Right"/>
    <w:basedOn w:val="BodyTextRight"/>
    <w:rsid w:val="00F03A28"/>
    <w:rPr>
      <w:sz w:val="18"/>
      <w:szCs w:val="18"/>
    </w:rPr>
  </w:style>
  <w:style w:type="paragraph" w:customStyle="1" w:styleId="MarginEdition">
    <w:name w:val="Margin Edition"/>
    <w:basedOn w:val="MarginNote"/>
    <w:rsid w:val="00F03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A28"/>
    <w:rPr>
      <w:sz w:val="2"/>
      <w:szCs w:val="2"/>
    </w:rPr>
  </w:style>
  <w:style w:type="character" w:customStyle="1" w:styleId="Small">
    <w:name w:val="Small"/>
    <w:basedOn w:val="DefaultParagraphFont"/>
    <w:rsid w:val="00F03A28"/>
    <w:rPr>
      <w:sz w:val="16"/>
    </w:rPr>
  </w:style>
  <w:style w:type="paragraph" w:customStyle="1" w:styleId="WideTable">
    <w:name w:val="Wide Table"/>
    <w:basedOn w:val="Normal"/>
    <w:rsid w:val="00F03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A28"/>
  </w:style>
  <w:style w:type="paragraph" w:styleId="Quote">
    <w:name w:val="Quote"/>
    <w:basedOn w:val="Heading1"/>
    <w:link w:val="QuoteChar"/>
    <w:qFormat/>
    <w:rsid w:val="00F03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A28"/>
    <w:pPr>
      <w:pageBreakBefore/>
    </w:pPr>
  </w:style>
  <w:style w:type="paragraph" w:customStyle="1" w:styleId="Border">
    <w:name w:val="Border"/>
    <w:basedOn w:val="Normal"/>
    <w:qFormat/>
    <w:rsid w:val="00F03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A28"/>
    <w:rPr>
      <w:u w:val="single"/>
    </w:rPr>
  </w:style>
  <w:style w:type="character" w:customStyle="1" w:styleId="BoldandItalics">
    <w:name w:val="Bold and Italics"/>
    <w:qFormat/>
    <w:rsid w:val="00F03A28"/>
    <w:rPr>
      <w:b/>
      <w:i/>
      <w:u w:val="none"/>
    </w:rPr>
  </w:style>
  <w:style w:type="paragraph" w:styleId="BalloonText">
    <w:name w:val="Balloon Text"/>
    <w:basedOn w:val="Normal"/>
    <w:link w:val="BalloonTextChar"/>
    <w:rsid w:val="00F03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A28"/>
    <w:pPr>
      <w:spacing w:before="0" w:after="0"/>
    </w:pPr>
  </w:style>
  <w:style w:type="paragraph" w:customStyle="1" w:styleId="BodyTextBold">
    <w:name w:val="Body Text Bold"/>
    <w:basedOn w:val="BodyText"/>
    <w:qFormat/>
    <w:rsid w:val="00F03A28"/>
    <w:rPr>
      <w:b/>
    </w:rPr>
  </w:style>
  <w:style w:type="character" w:styleId="Hyperlink">
    <w:name w:val="Hyperlink"/>
    <w:basedOn w:val="DefaultParagraphFont"/>
    <w:uiPriority w:val="99"/>
    <w:unhideWhenUsed/>
    <w:rsid w:val="00797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4739</Characters>
  <Application>Microsoft Office Word</Application>
  <DocSecurity>0</DocSecurity>
  <Lines>128</Lines>
  <Paragraphs>75</Paragraphs>
  <ScaleCrop>false</ScaleCrop>
  <Company>Author-it Software Corporation Ltd.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PMBTECH403E Test thermoset composite laminates and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