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65B13" w:rsidP="00C65B13">
      <w:pPr>
        <w:pStyle w:val="Title"/>
      </w:pPr>
      <w:r>
        <w:fldChar w:fldCharType="begin"/>
      </w:r>
      <w:r>
        <w:instrText xml:space="preserve"> TITLE   \* MERGEFORMAT </w:instrText>
      </w:r>
      <w:r>
        <w:fldChar w:fldCharType="separate"/>
      </w:r>
      <w:r>
        <w:t>PMBTECH402 Set advanced or complex dies</w:t>
      </w:r>
      <w:r>
        <w:fldChar w:fldCharType="end"/>
      </w:r>
    </w:p>
    <w:p w:rsidR="00C65B13" w:rsidP="00C65B13">
      <w:pPr>
        <w:pStyle w:val="Version"/>
        <w:sectPr w:rsidSect="00CA645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A6456" w:rsidP="00CA6456">
      <w:pPr>
        <w:pStyle w:val="SuperHeading"/>
      </w:pPr>
      <w:r w:rsidRPr="00CA6456">
        <w:t>PMBTECH402 Set advanced or complex dies</w:t>
      </w:r>
    </w:p>
    <w:p w:rsidR="00000000" w:rsidRPr="00CA6456" w:rsidP="00CA6456">
      <w:pPr>
        <w:pStyle w:val="Heading1"/>
      </w:pPr>
      <w:bookmarkStart w:id="1" w:name="O_927405"/>
      <w:bookmarkEnd w:id="1"/>
      <w:r w:rsidRPr="00CA6456">
        <w:t>Modification History</w:t>
      </w:r>
    </w:p>
    <w:p w:rsidR="00000000" w:rsidRPr="00CA6456" w:rsidP="00C65B13">
      <w:pPr>
        <w:pStyle w:val="BodyText"/>
      </w:pPr>
      <w:r w:rsidRPr="00CA6456">
        <w:t>Release 1. Supersedes and is equivalent to PMBTECH402B Set advanced or complex dies</w:t>
      </w:r>
    </w:p>
    <w:p w:rsidR="00000000" w:rsidRPr="00CA6456" w:rsidP="00CA6456">
      <w:pPr>
        <w:pStyle w:val="Heading1"/>
      </w:pPr>
      <w:bookmarkStart w:id="2" w:name="O_927413"/>
      <w:bookmarkEnd w:id="2"/>
      <w:r w:rsidRPr="00CA6456">
        <w:t>Application</w:t>
      </w:r>
    </w:p>
    <w:p w:rsidR="00000000" w:rsidRPr="00CA6456" w:rsidP="00C65B13">
      <w:pPr>
        <w:pStyle w:val="BodyText"/>
      </w:pPr>
      <w:r w:rsidRPr="00CA6456">
        <w:t>This unit of competency covers the skills and knowledge required to set and remove advanced or complex dies as typically u</w:t>
      </w:r>
      <w:r w:rsidRPr="00CA6456">
        <w:t>sed for injection or blow moulding.</w:t>
      </w:r>
    </w:p>
    <w:p w:rsidR="00000000" w:rsidRPr="00CA6456" w:rsidP="00C65B13">
      <w:pPr>
        <w:pStyle w:val="BodyText"/>
      </w:pPr>
      <w:r w:rsidRPr="00CA6456">
        <w:t>This unit of competency applies to technicians or those in similar roles who are required to plan the die changeover, remove and replace the die, set machine conditions, fine tune settings and production variables to ac</w:t>
      </w:r>
      <w:r w:rsidRPr="00CA6456">
        <w:t>hieve desired results, and rectify production/quality problems.</w:t>
      </w:r>
    </w:p>
    <w:p w:rsidR="00000000" w:rsidRPr="00CA6456" w:rsidP="00C65B13">
      <w:pPr>
        <w:pStyle w:val="BodyText"/>
      </w:pPr>
      <w:r w:rsidRPr="00CA6456">
        <w:t>This unit of competency applies to a technician applying specialised theoretical and technical knowledge and well developed skills in situations that require autonomy, discretion and judgemen</w:t>
      </w:r>
      <w:r w:rsidRPr="00CA6456">
        <w:t>t. The person may work alone or as a member of a team or group and will work in liaison with other shift team members, team leader and supervisor, as appropriate.</w:t>
      </w:r>
    </w:p>
    <w:p w:rsidR="00000000" w:rsidRPr="00CA6456" w:rsidP="00C65B13">
      <w:pPr>
        <w:pStyle w:val="BodyText"/>
      </w:pPr>
      <w:r w:rsidRPr="00CA6456">
        <w:t>No licensing, legislative or certification requirements apply to this unit at the time of pu</w:t>
      </w:r>
      <w:r w:rsidRPr="00CA6456">
        <w:t>blication.</w:t>
      </w:r>
    </w:p>
    <w:p w:rsidR="00000000" w:rsidRPr="00CA6456" w:rsidP="00CA6456">
      <w:pPr>
        <w:pStyle w:val="Heading1"/>
      </w:pPr>
      <w:bookmarkStart w:id="3" w:name="O_927412"/>
      <w:bookmarkEnd w:id="3"/>
      <w:r w:rsidRPr="00CA6456">
        <w:t>Pre-requisite Unit</w:t>
      </w:r>
    </w:p>
    <w:tbl>
      <w:tblPr>
        <w:tblW w:w="0" w:type="auto"/>
        <w:tblCellMar>
          <w:left w:w="62" w:type="dxa"/>
          <w:right w:w="62" w:type="dxa"/>
        </w:tblCellMar>
        <w:tblLook w:val="0000"/>
      </w:tblPr>
      <w:tblGrid>
        <w:gridCol w:w="2163"/>
        <w:gridCol w:w="7033"/>
      </w:tblGrid>
      <w:tr w:rsidTr="00C65B1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A6456">
            <w:pPr>
              <w:pStyle w:val="BodyText"/>
              <w:rPr>
                <w:lang w:val="en-NZ"/>
              </w:rPr>
            </w:pPr>
            <w:r w:rsidRPr="00CA6456">
              <w:t>PMBPREP304</w:t>
            </w:r>
          </w:p>
        </w:tc>
        <w:tc>
          <w:tcPr>
            <w:tcW w:w="0" w:type="auto"/>
            <w:tcBorders>
              <w:top w:val="nil"/>
              <w:left w:val="nil"/>
              <w:bottom w:val="nil"/>
              <w:right w:val="nil"/>
            </w:tcBorders>
            <w:tcMar>
              <w:top w:w="0" w:type="dxa"/>
              <w:left w:w="62" w:type="dxa"/>
              <w:bottom w:w="0" w:type="dxa"/>
              <w:right w:w="62" w:type="dxa"/>
            </w:tcMar>
          </w:tcPr>
          <w:p w:rsidR="00000000" w:rsidRPr="00CA6456" w:rsidP="00CA6456">
            <w:pPr>
              <w:pStyle w:val="BodyText"/>
            </w:pPr>
            <w:r w:rsidRPr="00CA6456">
              <w:t>Set a die</w:t>
            </w:r>
          </w:p>
        </w:tc>
      </w:tr>
    </w:tbl>
    <w:p w:rsidR="00000000" w:rsidRPr="00CA6456" w:rsidP="00CA6456">
      <w:pPr>
        <w:pStyle w:val="BodyText"/>
      </w:pPr>
    </w:p>
    <w:p w:rsidR="00000000" w:rsidRPr="00CA6456" w:rsidP="00CA6456">
      <w:pPr>
        <w:pStyle w:val="AllowPageBreak"/>
      </w:pPr>
    </w:p>
    <w:p w:rsidR="00000000" w:rsidRPr="00CA6456" w:rsidP="00CA6456">
      <w:pPr>
        <w:pStyle w:val="Heading1"/>
      </w:pPr>
      <w:bookmarkStart w:id="4" w:name="O_927411"/>
      <w:bookmarkEnd w:id="4"/>
      <w:r w:rsidRPr="00CA6456">
        <w:t>Competency Field</w:t>
      </w:r>
    </w:p>
    <w:p w:rsidR="00000000" w:rsidRPr="00CA6456" w:rsidP="00C65B13">
      <w:pPr>
        <w:pStyle w:val="BodyText"/>
      </w:pPr>
      <w:r w:rsidRPr="00CA6456">
        <w:t>Technical</w:t>
      </w:r>
    </w:p>
    <w:p w:rsidR="00000000" w:rsidRPr="00CA6456" w:rsidP="00CA6456">
      <w:pPr>
        <w:pStyle w:val="Heading1"/>
      </w:pPr>
      <w:bookmarkStart w:id="5" w:name="O_927410"/>
      <w:bookmarkEnd w:id="5"/>
      <w:r w:rsidRPr="00CA6456">
        <w:t>Unit Sector</w:t>
      </w:r>
    </w:p>
    <w:p w:rsidR="00000000" w:rsidRPr="00CA6456" w:rsidP="00C65B13">
      <w:pPr>
        <w:pStyle w:val="BodyText"/>
      </w:pPr>
      <w:r w:rsidRPr="00CA6456">
        <w:t>Not applicable</w:t>
      </w:r>
    </w:p>
    <w:p w:rsidR="00000000" w:rsidRPr="00CA6456" w:rsidP="00CA6456">
      <w:pPr>
        <w:pStyle w:val="Heading1"/>
      </w:pPr>
      <w:bookmarkStart w:id="6" w:name="O_927409"/>
      <w:bookmarkEnd w:id="6"/>
      <w:r w:rsidRPr="00CA6456">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CA6456">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CA6456">
            <w:pPr>
              <w:pStyle w:val="BodyText"/>
              <w:rPr>
                <w:lang w:val="en-NZ"/>
              </w:rPr>
            </w:pPr>
            <w:r w:rsidRPr="00CA6456">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CA6456">
            <w:pPr>
              <w:pStyle w:val="BodyText"/>
              <w:rPr>
                <w:lang w:val="en-NZ"/>
              </w:rPr>
            </w:pPr>
            <w:r w:rsidRPr="00CA6456">
              <w:t>Performance criteria describe the performance needed to demonstrate achievement of the element.</w:t>
            </w:r>
          </w:p>
        </w:tc>
      </w:tr>
      <w:tr w:rsidTr="00CA645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A6456" w:rsidP="00CA6456">
            <w:pPr>
              <w:pStyle w:val="BodyText"/>
            </w:pPr>
            <w:r w:rsidRPr="00CA6456">
              <w:t>1</w:t>
            </w:r>
          </w:p>
        </w:tc>
        <w:tc>
          <w:tcPr>
            <w:tcW w:w="1962" w:type="dxa"/>
            <w:vMerge w:val="restart"/>
            <w:tcBorders>
              <w:top w:val="nil"/>
              <w:left w:val="nil"/>
              <w:bottom w:val="nil"/>
              <w:right w:val="nil"/>
            </w:tcBorders>
            <w:tcMar>
              <w:top w:w="0" w:type="dxa"/>
              <w:left w:w="62" w:type="dxa"/>
              <w:bottom w:w="0" w:type="dxa"/>
              <w:right w:w="62" w:type="dxa"/>
            </w:tcMar>
          </w:tcPr>
          <w:p w:rsidR="00000000" w:rsidP="00CA6456">
            <w:pPr>
              <w:pStyle w:val="BodyText"/>
              <w:rPr>
                <w:lang w:val="en-NZ"/>
              </w:rPr>
            </w:pPr>
            <w:r w:rsidRPr="00CA6456">
              <w:rPr>
                <w:rStyle w:val="SpecialBold"/>
              </w:rPr>
              <w:t>Prepare to change advanced or complex die</w:t>
            </w:r>
          </w:p>
        </w:tc>
        <w:tc>
          <w:tcPr>
            <w:tcW w:w="770" w:type="dxa"/>
            <w:tcBorders>
              <w:top w:val="nil"/>
              <w:left w:val="nil"/>
              <w:bottom w:val="nil"/>
              <w:right w:val="nil"/>
            </w:tcBorders>
            <w:tcMar>
              <w:top w:w="0" w:type="dxa"/>
              <w:left w:w="62" w:type="dxa"/>
              <w:bottom w:w="0" w:type="dxa"/>
              <w:right w:w="62" w:type="dxa"/>
            </w:tcMar>
          </w:tcPr>
          <w:p w:rsidR="00000000" w:rsidP="00CA6456">
            <w:pPr>
              <w:pStyle w:val="BodyText"/>
              <w:rPr>
                <w:lang w:val="en-NZ"/>
              </w:rPr>
            </w:pPr>
            <w:r w:rsidRPr="00CA6456">
              <w:t>1.1</w:t>
            </w:r>
          </w:p>
        </w:tc>
        <w:tc>
          <w:tcPr>
            <w:tcW w:w="5610" w:type="dxa"/>
            <w:tcBorders>
              <w:top w:val="nil"/>
              <w:left w:val="nil"/>
              <w:bottom w:val="nil"/>
              <w:right w:val="nil"/>
            </w:tcBorders>
            <w:tcMar>
              <w:top w:w="0" w:type="dxa"/>
              <w:left w:w="62" w:type="dxa"/>
              <w:bottom w:w="0" w:type="dxa"/>
              <w:right w:w="62" w:type="dxa"/>
            </w:tcMar>
          </w:tcPr>
          <w:p w:rsidR="00000000" w:rsidP="00CA6456">
            <w:pPr>
              <w:pStyle w:val="BodyText"/>
              <w:rPr>
                <w:lang w:val="en-NZ"/>
              </w:rPr>
            </w:pPr>
            <w:r w:rsidRPr="00CA6456">
              <w:t>Determine when changeover will be required, and plan requirements for die change</w:t>
            </w:r>
          </w:p>
        </w:tc>
      </w:tr>
      <w:tr w:rsidTr="00CA645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A6456">
            <w:pPr>
              <w:pStyle w:val="BodyText"/>
              <w:rPr>
                <w:lang w:val="en-NZ"/>
              </w:rPr>
            </w:pPr>
            <w:r w:rsidRPr="00CA6456">
              <w:t>1.2</w:t>
            </w:r>
          </w:p>
        </w:tc>
        <w:tc>
          <w:tcPr>
            <w:tcW w:w="5610" w:type="dxa"/>
            <w:tcBorders>
              <w:top w:val="nil"/>
              <w:left w:val="nil"/>
              <w:bottom w:val="nil"/>
              <w:right w:val="nil"/>
            </w:tcBorders>
            <w:tcMar>
              <w:top w:w="0" w:type="dxa"/>
              <w:left w:w="62" w:type="dxa"/>
              <w:bottom w:w="0" w:type="dxa"/>
              <w:right w:w="62" w:type="dxa"/>
            </w:tcMar>
          </w:tcPr>
          <w:p w:rsidR="00000000" w:rsidP="00CA6456">
            <w:pPr>
              <w:pStyle w:val="BodyText"/>
              <w:rPr>
                <w:lang w:val="en-NZ"/>
              </w:rPr>
            </w:pPr>
            <w:r w:rsidRPr="00CA6456">
              <w:t>Prepare dies and all equipment related to the advanced or complex die change</w:t>
            </w:r>
          </w:p>
        </w:tc>
      </w:tr>
      <w:tr w:rsidTr="00CA645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A6456">
            <w:pPr>
              <w:pStyle w:val="BodyText"/>
              <w:rPr>
                <w:lang w:val="en-NZ"/>
              </w:rPr>
            </w:pPr>
            <w:r w:rsidRPr="00CA6456">
              <w:t>1.3</w:t>
            </w:r>
          </w:p>
        </w:tc>
        <w:tc>
          <w:tcPr>
            <w:tcW w:w="5610" w:type="dxa"/>
            <w:tcBorders>
              <w:top w:val="nil"/>
              <w:left w:val="nil"/>
              <w:bottom w:val="nil"/>
              <w:right w:val="nil"/>
            </w:tcBorders>
            <w:tcMar>
              <w:top w:w="0" w:type="dxa"/>
              <w:left w:w="62" w:type="dxa"/>
              <w:bottom w:w="0" w:type="dxa"/>
              <w:right w:w="62" w:type="dxa"/>
            </w:tcMar>
          </w:tcPr>
          <w:p w:rsidR="00000000" w:rsidP="00CA6456">
            <w:pPr>
              <w:pStyle w:val="BodyText"/>
              <w:rPr>
                <w:lang w:val="en-NZ"/>
              </w:rPr>
            </w:pPr>
            <w:r w:rsidRPr="00CA6456">
              <w:t>Prepare the moulding machine for die removal according to enterprise procedures</w:t>
            </w:r>
          </w:p>
        </w:tc>
      </w:tr>
      <w:tr w:rsidTr="00CA645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A6456">
            <w:pPr>
              <w:pStyle w:val="BodyText"/>
              <w:rPr>
                <w:lang w:val="en-NZ"/>
              </w:rPr>
            </w:pPr>
          </w:p>
        </w:tc>
      </w:tr>
      <w:tr w:rsidTr="00CA645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A6456" w:rsidP="00CA6456">
            <w:pPr>
              <w:pStyle w:val="BodyText"/>
            </w:pPr>
            <w:r w:rsidRPr="00CA6456">
              <w:t>2</w:t>
            </w:r>
          </w:p>
        </w:tc>
        <w:tc>
          <w:tcPr>
            <w:tcW w:w="1962" w:type="dxa"/>
            <w:vMerge w:val="restart"/>
            <w:tcBorders>
              <w:top w:val="nil"/>
              <w:left w:val="nil"/>
              <w:bottom w:val="nil"/>
              <w:right w:val="nil"/>
            </w:tcBorders>
            <w:tcMar>
              <w:top w:w="0" w:type="dxa"/>
              <w:left w:w="62" w:type="dxa"/>
              <w:bottom w:w="0" w:type="dxa"/>
              <w:right w:w="62" w:type="dxa"/>
            </w:tcMar>
          </w:tcPr>
          <w:p w:rsidR="00000000" w:rsidP="00CA6456">
            <w:pPr>
              <w:pStyle w:val="BodyText"/>
              <w:rPr>
                <w:lang w:val="en-NZ"/>
              </w:rPr>
            </w:pPr>
            <w:r w:rsidRPr="00CA6456">
              <w:rPr>
                <w:rStyle w:val="SpecialBold"/>
              </w:rPr>
              <w:t>Change dies</w:t>
            </w:r>
          </w:p>
        </w:tc>
        <w:tc>
          <w:tcPr>
            <w:tcW w:w="770" w:type="dxa"/>
            <w:tcBorders>
              <w:top w:val="nil"/>
              <w:left w:val="nil"/>
              <w:bottom w:val="nil"/>
              <w:right w:val="nil"/>
            </w:tcBorders>
            <w:tcMar>
              <w:top w:w="0" w:type="dxa"/>
              <w:left w:w="62" w:type="dxa"/>
              <w:bottom w:w="0" w:type="dxa"/>
              <w:right w:w="62" w:type="dxa"/>
            </w:tcMar>
          </w:tcPr>
          <w:p w:rsidR="00000000" w:rsidP="00CA6456">
            <w:pPr>
              <w:pStyle w:val="BodyText"/>
              <w:rPr>
                <w:lang w:val="en-NZ"/>
              </w:rPr>
            </w:pPr>
            <w:r w:rsidRPr="00CA6456">
              <w:t>2.1</w:t>
            </w:r>
          </w:p>
        </w:tc>
        <w:tc>
          <w:tcPr>
            <w:tcW w:w="5610" w:type="dxa"/>
            <w:tcBorders>
              <w:top w:val="nil"/>
              <w:left w:val="nil"/>
              <w:bottom w:val="nil"/>
              <w:right w:val="nil"/>
            </w:tcBorders>
            <w:tcMar>
              <w:top w:w="0" w:type="dxa"/>
              <w:left w:w="62" w:type="dxa"/>
              <w:bottom w:w="0" w:type="dxa"/>
              <w:right w:w="62" w:type="dxa"/>
            </w:tcMar>
          </w:tcPr>
          <w:p w:rsidR="00000000" w:rsidP="00CA6456">
            <w:pPr>
              <w:pStyle w:val="BodyText"/>
              <w:rPr>
                <w:lang w:val="en-NZ"/>
              </w:rPr>
            </w:pPr>
            <w:r w:rsidRPr="00CA6456">
              <w:t>Remove die according to enterprise procedures, in a safe, systematic and time efficient manner</w:t>
            </w:r>
          </w:p>
        </w:tc>
      </w:tr>
      <w:tr w:rsidTr="00CA645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A6456">
            <w:pPr>
              <w:pStyle w:val="BodyText"/>
              <w:rPr>
                <w:lang w:val="en-NZ"/>
              </w:rPr>
            </w:pPr>
            <w:r w:rsidRPr="00CA6456">
              <w:t>2.2</w:t>
            </w:r>
          </w:p>
        </w:tc>
        <w:tc>
          <w:tcPr>
            <w:tcW w:w="5610" w:type="dxa"/>
            <w:tcBorders>
              <w:top w:val="nil"/>
              <w:left w:val="nil"/>
              <w:bottom w:val="nil"/>
              <w:right w:val="nil"/>
            </w:tcBorders>
            <w:tcMar>
              <w:top w:w="0" w:type="dxa"/>
              <w:left w:w="62" w:type="dxa"/>
              <w:bottom w:w="0" w:type="dxa"/>
              <w:right w:w="62" w:type="dxa"/>
            </w:tcMar>
          </w:tcPr>
          <w:p w:rsidR="00000000" w:rsidP="00CA6456">
            <w:pPr>
              <w:pStyle w:val="BodyText"/>
              <w:rPr>
                <w:lang w:val="en-NZ"/>
              </w:rPr>
            </w:pPr>
            <w:r w:rsidRPr="00CA6456">
              <w:t>Clean and store die according to workplace procedures applying corrosion protection if required.</w:t>
            </w:r>
          </w:p>
        </w:tc>
      </w:tr>
      <w:tr w:rsidTr="00CA645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A6456">
            <w:pPr>
              <w:pStyle w:val="BodyText"/>
              <w:rPr>
                <w:lang w:val="en-NZ"/>
              </w:rPr>
            </w:pPr>
            <w:r w:rsidRPr="00CA6456">
              <w:t>2.3</w:t>
            </w:r>
          </w:p>
        </w:tc>
        <w:tc>
          <w:tcPr>
            <w:tcW w:w="5610" w:type="dxa"/>
            <w:tcBorders>
              <w:top w:val="nil"/>
              <w:left w:val="nil"/>
              <w:bottom w:val="nil"/>
              <w:right w:val="nil"/>
            </w:tcBorders>
            <w:tcMar>
              <w:top w:w="0" w:type="dxa"/>
              <w:left w:w="62" w:type="dxa"/>
              <w:bottom w:w="0" w:type="dxa"/>
              <w:right w:w="62" w:type="dxa"/>
            </w:tcMar>
          </w:tcPr>
          <w:p w:rsidR="00000000" w:rsidP="00CA6456">
            <w:pPr>
              <w:pStyle w:val="BodyText"/>
              <w:rPr>
                <w:lang w:val="en-NZ"/>
              </w:rPr>
            </w:pPr>
            <w:r w:rsidRPr="00CA6456">
              <w:t>Prepare the moulding machine according to procedures</w:t>
            </w:r>
          </w:p>
        </w:tc>
      </w:tr>
      <w:tr w:rsidTr="00CA645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A6456">
            <w:pPr>
              <w:pStyle w:val="BodyText"/>
              <w:rPr>
                <w:lang w:val="en-NZ"/>
              </w:rPr>
            </w:pPr>
            <w:r w:rsidRPr="00CA6456">
              <w:t>2.4</w:t>
            </w:r>
          </w:p>
        </w:tc>
        <w:tc>
          <w:tcPr>
            <w:tcW w:w="5610" w:type="dxa"/>
            <w:tcBorders>
              <w:top w:val="nil"/>
              <w:left w:val="nil"/>
              <w:bottom w:val="nil"/>
              <w:right w:val="nil"/>
            </w:tcBorders>
            <w:tcMar>
              <w:top w:w="0" w:type="dxa"/>
              <w:left w:w="62" w:type="dxa"/>
              <w:bottom w:w="0" w:type="dxa"/>
              <w:right w:w="62" w:type="dxa"/>
            </w:tcMar>
          </w:tcPr>
          <w:p w:rsidR="00000000" w:rsidP="00CA6456">
            <w:pPr>
              <w:pStyle w:val="BodyText"/>
              <w:rPr>
                <w:lang w:val="en-NZ"/>
              </w:rPr>
            </w:pPr>
            <w:r w:rsidRPr="00CA6456">
              <w:t>Attach replacement die to the machine according to procedures</w:t>
            </w:r>
          </w:p>
        </w:tc>
      </w:tr>
      <w:tr w:rsidTr="00CA645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A6456">
            <w:pPr>
              <w:pStyle w:val="BodyText"/>
              <w:rPr>
                <w:lang w:val="en-NZ"/>
              </w:rPr>
            </w:pPr>
          </w:p>
        </w:tc>
      </w:tr>
      <w:tr w:rsidTr="00CA645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A6456" w:rsidP="00CA6456">
            <w:pPr>
              <w:pStyle w:val="BodyText"/>
            </w:pPr>
            <w:r w:rsidRPr="00CA6456">
              <w:t>3</w:t>
            </w:r>
          </w:p>
        </w:tc>
        <w:tc>
          <w:tcPr>
            <w:tcW w:w="1962" w:type="dxa"/>
            <w:vMerge w:val="restart"/>
            <w:tcBorders>
              <w:top w:val="nil"/>
              <w:left w:val="nil"/>
              <w:bottom w:val="nil"/>
              <w:right w:val="nil"/>
            </w:tcBorders>
            <w:tcMar>
              <w:top w:w="0" w:type="dxa"/>
              <w:left w:w="62" w:type="dxa"/>
              <w:bottom w:w="0" w:type="dxa"/>
              <w:right w:w="62" w:type="dxa"/>
            </w:tcMar>
          </w:tcPr>
          <w:p w:rsidR="00000000" w:rsidP="00CA6456">
            <w:pPr>
              <w:pStyle w:val="BodyText"/>
              <w:rPr>
                <w:lang w:val="en-NZ"/>
              </w:rPr>
            </w:pPr>
            <w:r w:rsidRPr="00CA6456">
              <w:rPr>
                <w:rStyle w:val="SpecialBold"/>
              </w:rPr>
              <w:t>Set advanced or complex die</w:t>
            </w:r>
          </w:p>
        </w:tc>
        <w:tc>
          <w:tcPr>
            <w:tcW w:w="770" w:type="dxa"/>
            <w:tcBorders>
              <w:top w:val="nil"/>
              <w:left w:val="nil"/>
              <w:bottom w:val="nil"/>
              <w:right w:val="nil"/>
            </w:tcBorders>
            <w:tcMar>
              <w:top w:w="0" w:type="dxa"/>
              <w:left w:w="62" w:type="dxa"/>
              <w:bottom w:w="0" w:type="dxa"/>
              <w:right w:w="62" w:type="dxa"/>
            </w:tcMar>
          </w:tcPr>
          <w:p w:rsidR="00000000" w:rsidP="00CA6456">
            <w:pPr>
              <w:pStyle w:val="BodyText"/>
              <w:rPr>
                <w:lang w:val="en-NZ"/>
              </w:rPr>
            </w:pPr>
            <w:r w:rsidRPr="00CA6456">
              <w:t>3.1</w:t>
            </w:r>
          </w:p>
        </w:tc>
        <w:tc>
          <w:tcPr>
            <w:tcW w:w="5610" w:type="dxa"/>
            <w:tcBorders>
              <w:top w:val="nil"/>
              <w:left w:val="nil"/>
              <w:bottom w:val="nil"/>
              <w:right w:val="nil"/>
            </w:tcBorders>
            <w:tcMar>
              <w:top w:w="0" w:type="dxa"/>
              <w:left w:w="62" w:type="dxa"/>
              <w:bottom w:w="0" w:type="dxa"/>
              <w:right w:w="62" w:type="dxa"/>
            </w:tcMar>
          </w:tcPr>
          <w:p w:rsidR="00000000" w:rsidP="00CA6456">
            <w:pPr>
              <w:pStyle w:val="BodyText"/>
              <w:rPr>
                <w:lang w:val="en-NZ"/>
              </w:rPr>
            </w:pPr>
            <w:r w:rsidRPr="00CA6456">
              <w:t>Set machine conditions for new die</w:t>
            </w:r>
          </w:p>
        </w:tc>
      </w:tr>
      <w:tr w:rsidTr="00CA645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A6456">
            <w:pPr>
              <w:pStyle w:val="BodyText"/>
              <w:rPr>
                <w:lang w:val="en-NZ"/>
              </w:rPr>
            </w:pPr>
            <w:r w:rsidRPr="00CA6456">
              <w:t>3.2</w:t>
            </w:r>
          </w:p>
        </w:tc>
        <w:tc>
          <w:tcPr>
            <w:tcW w:w="5610" w:type="dxa"/>
            <w:tcBorders>
              <w:top w:val="nil"/>
              <w:left w:val="nil"/>
              <w:bottom w:val="nil"/>
              <w:right w:val="nil"/>
            </w:tcBorders>
            <w:tcMar>
              <w:top w:w="0" w:type="dxa"/>
              <w:left w:w="62" w:type="dxa"/>
              <w:bottom w:w="0" w:type="dxa"/>
              <w:right w:w="62" w:type="dxa"/>
            </w:tcMar>
          </w:tcPr>
          <w:p w:rsidR="00000000" w:rsidP="00CA6456">
            <w:pPr>
              <w:pStyle w:val="BodyText"/>
              <w:rPr>
                <w:lang w:val="en-NZ"/>
              </w:rPr>
            </w:pPr>
            <w:r w:rsidRPr="00CA6456">
              <w:t>Restart machine in accordance with procedure</w:t>
            </w:r>
          </w:p>
        </w:tc>
      </w:tr>
      <w:tr w:rsidTr="00CA645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A6456">
            <w:pPr>
              <w:pStyle w:val="BodyText"/>
              <w:rPr>
                <w:lang w:val="en-NZ"/>
              </w:rPr>
            </w:pPr>
            <w:r w:rsidRPr="00CA6456">
              <w:t>3.3</w:t>
            </w:r>
          </w:p>
        </w:tc>
        <w:tc>
          <w:tcPr>
            <w:tcW w:w="5610" w:type="dxa"/>
            <w:tcBorders>
              <w:top w:val="nil"/>
              <w:left w:val="nil"/>
              <w:bottom w:val="nil"/>
              <w:right w:val="nil"/>
            </w:tcBorders>
            <w:tcMar>
              <w:top w:w="0" w:type="dxa"/>
              <w:left w:w="62" w:type="dxa"/>
              <w:bottom w:w="0" w:type="dxa"/>
              <w:right w:w="62" w:type="dxa"/>
            </w:tcMar>
          </w:tcPr>
          <w:p w:rsidR="00000000" w:rsidP="00CA6456">
            <w:pPr>
              <w:pStyle w:val="BodyText"/>
              <w:rPr>
                <w:lang w:val="en-NZ"/>
              </w:rPr>
            </w:pPr>
            <w:r w:rsidRPr="00CA6456">
              <w:t>Dry cycle machine and die according to enterprise procedures</w:t>
            </w:r>
          </w:p>
        </w:tc>
      </w:tr>
      <w:tr w:rsidTr="00CA645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A6456">
            <w:pPr>
              <w:pStyle w:val="BodyText"/>
              <w:rPr>
                <w:lang w:val="en-NZ"/>
              </w:rPr>
            </w:pPr>
            <w:r w:rsidRPr="00CA6456">
              <w:t>3.4</w:t>
            </w:r>
          </w:p>
        </w:tc>
        <w:tc>
          <w:tcPr>
            <w:tcW w:w="5610" w:type="dxa"/>
            <w:tcBorders>
              <w:top w:val="nil"/>
              <w:left w:val="nil"/>
              <w:bottom w:val="nil"/>
              <w:right w:val="nil"/>
            </w:tcBorders>
            <w:tcMar>
              <w:top w:w="0" w:type="dxa"/>
              <w:left w:w="62" w:type="dxa"/>
              <w:bottom w:w="0" w:type="dxa"/>
              <w:right w:w="62" w:type="dxa"/>
            </w:tcMar>
          </w:tcPr>
          <w:p w:rsidR="00000000" w:rsidP="00CA6456">
            <w:pPr>
              <w:pStyle w:val="BodyText"/>
              <w:rPr>
                <w:lang w:val="en-NZ"/>
              </w:rPr>
            </w:pPr>
            <w:r w:rsidRPr="00CA6456">
              <w:t>Check operation of die and power and control devices against die set up specifications.</w:t>
            </w:r>
          </w:p>
        </w:tc>
      </w:tr>
      <w:tr w:rsidTr="00CA645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A6456">
            <w:pPr>
              <w:pStyle w:val="BodyText"/>
              <w:rPr>
                <w:lang w:val="en-NZ"/>
              </w:rPr>
            </w:pPr>
            <w:r w:rsidRPr="00CA6456">
              <w:t>3.5</w:t>
            </w:r>
          </w:p>
        </w:tc>
        <w:tc>
          <w:tcPr>
            <w:tcW w:w="5610" w:type="dxa"/>
            <w:tcBorders>
              <w:top w:val="nil"/>
              <w:left w:val="nil"/>
              <w:bottom w:val="nil"/>
              <w:right w:val="nil"/>
            </w:tcBorders>
            <w:tcMar>
              <w:top w:w="0" w:type="dxa"/>
              <w:left w:w="62" w:type="dxa"/>
              <w:bottom w:w="0" w:type="dxa"/>
              <w:right w:w="62" w:type="dxa"/>
            </w:tcMar>
          </w:tcPr>
          <w:p w:rsidR="00000000" w:rsidP="00CA6456">
            <w:pPr>
              <w:pStyle w:val="BodyText"/>
              <w:rPr>
                <w:lang w:val="en-NZ"/>
              </w:rPr>
            </w:pPr>
            <w:r w:rsidRPr="00CA6456">
              <w:t>Check the first-off sample for compliance with required standards</w:t>
            </w:r>
          </w:p>
        </w:tc>
      </w:tr>
      <w:tr w:rsidTr="00CA645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A6456">
            <w:pPr>
              <w:pStyle w:val="BodyText"/>
              <w:rPr>
                <w:lang w:val="en-NZ"/>
              </w:rPr>
            </w:pPr>
            <w:r w:rsidRPr="00CA6456">
              <w:t>3.6</w:t>
            </w:r>
          </w:p>
        </w:tc>
        <w:tc>
          <w:tcPr>
            <w:tcW w:w="5610" w:type="dxa"/>
            <w:tcBorders>
              <w:top w:val="nil"/>
              <w:left w:val="nil"/>
              <w:bottom w:val="nil"/>
              <w:right w:val="nil"/>
            </w:tcBorders>
            <w:tcMar>
              <w:top w:w="0" w:type="dxa"/>
              <w:left w:w="62" w:type="dxa"/>
              <w:bottom w:w="0" w:type="dxa"/>
              <w:right w:w="62" w:type="dxa"/>
            </w:tcMar>
          </w:tcPr>
          <w:p w:rsidR="00000000" w:rsidP="00CA6456">
            <w:pPr>
              <w:pStyle w:val="BodyText"/>
              <w:rPr>
                <w:lang w:val="en-NZ"/>
              </w:rPr>
            </w:pPr>
            <w:r w:rsidRPr="00CA6456">
              <w:t>Fine tune settings and other production variables as required</w:t>
            </w:r>
          </w:p>
        </w:tc>
      </w:tr>
      <w:tr w:rsidTr="00CA645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A6456">
            <w:pPr>
              <w:pStyle w:val="BodyText"/>
              <w:rPr>
                <w:lang w:val="en-NZ"/>
              </w:rPr>
            </w:pPr>
            <w:r w:rsidRPr="00CA6456">
              <w:t>3.7</w:t>
            </w:r>
          </w:p>
        </w:tc>
        <w:tc>
          <w:tcPr>
            <w:tcW w:w="5610" w:type="dxa"/>
            <w:tcBorders>
              <w:top w:val="nil"/>
              <w:left w:val="nil"/>
              <w:bottom w:val="nil"/>
              <w:right w:val="nil"/>
            </w:tcBorders>
            <w:tcMar>
              <w:top w:w="0" w:type="dxa"/>
              <w:left w:w="62" w:type="dxa"/>
              <w:bottom w:w="0" w:type="dxa"/>
              <w:right w:w="62" w:type="dxa"/>
            </w:tcMar>
          </w:tcPr>
          <w:p w:rsidR="00000000" w:rsidP="00CA6456">
            <w:pPr>
              <w:pStyle w:val="BodyText"/>
              <w:rPr>
                <w:lang w:val="en-NZ"/>
              </w:rPr>
            </w:pPr>
            <w:r w:rsidRPr="00CA6456">
              <w:t>Note any equipment variances between actual production and documented set up conditions</w:t>
            </w:r>
          </w:p>
        </w:tc>
      </w:tr>
      <w:tr w:rsidTr="00CA645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A6456">
            <w:pPr>
              <w:pStyle w:val="BodyText"/>
              <w:rPr>
                <w:lang w:val="en-NZ"/>
              </w:rPr>
            </w:pPr>
            <w:r w:rsidRPr="00CA6456">
              <w:t>3.8</w:t>
            </w:r>
          </w:p>
        </w:tc>
        <w:tc>
          <w:tcPr>
            <w:tcW w:w="5610" w:type="dxa"/>
            <w:tcBorders>
              <w:top w:val="nil"/>
              <w:left w:val="nil"/>
              <w:bottom w:val="nil"/>
              <w:right w:val="nil"/>
            </w:tcBorders>
            <w:tcMar>
              <w:top w:w="0" w:type="dxa"/>
              <w:left w:w="62" w:type="dxa"/>
              <w:bottom w:w="0" w:type="dxa"/>
              <w:right w:w="62" w:type="dxa"/>
            </w:tcMar>
          </w:tcPr>
          <w:p w:rsidR="00000000" w:rsidP="00CA6456">
            <w:pPr>
              <w:pStyle w:val="BodyText"/>
              <w:rPr>
                <w:lang w:val="en-NZ"/>
              </w:rPr>
            </w:pPr>
            <w:r w:rsidRPr="00CA6456">
              <w:t>Complete workplace documentation and report to appropriate personnel</w:t>
            </w:r>
          </w:p>
        </w:tc>
      </w:tr>
      <w:tr w:rsidTr="00CA645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A6456">
            <w:pPr>
              <w:pStyle w:val="BodyText"/>
              <w:rPr>
                <w:lang w:val="en-NZ"/>
              </w:rPr>
            </w:pPr>
          </w:p>
        </w:tc>
      </w:tr>
      <w:tr w:rsidTr="00CA645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A6456" w:rsidP="00CA6456">
            <w:pPr>
              <w:pStyle w:val="BodyText"/>
            </w:pPr>
            <w:r w:rsidRPr="00CA6456">
              <w:t>4</w:t>
            </w:r>
          </w:p>
        </w:tc>
        <w:tc>
          <w:tcPr>
            <w:tcW w:w="1962" w:type="dxa"/>
            <w:vMerge w:val="restart"/>
            <w:tcBorders>
              <w:top w:val="nil"/>
              <w:left w:val="nil"/>
              <w:bottom w:val="nil"/>
              <w:right w:val="nil"/>
            </w:tcBorders>
            <w:tcMar>
              <w:top w:w="0" w:type="dxa"/>
              <w:left w:w="62" w:type="dxa"/>
              <w:bottom w:w="0" w:type="dxa"/>
              <w:right w:w="62" w:type="dxa"/>
            </w:tcMar>
          </w:tcPr>
          <w:p w:rsidR="00000000" w:rsidP="00CA6456">
            <w:pPr>
              <w:pStyle w:val="BodyText"/>
              <w:rPr>
                <w:lang w:val="en-NZ"/>
              </w:rPr>
            </w:pPr>
            <w:r w:rsidRPr="00CA6456">
              <w:rPr>
                <w:rStyle w:val="SpecialBold"/>
              </w:rPr>
              <w:t>Anticipate die setting problems</w:t>
            </w:r>
          </w:p>
        </w:tc>
        <w:tc>
          <w:tcPr>
            <w:tcW w:w="770" w:type="dxa"/>
            <w:tcBorders>
              <w:top w:val="nil"/>
              <w:left w:val="nil"/>
              <w:bottom w:val="nil"/>
              <w:right w:val="nil"/>
            </w:tcBorders>
            <w:tcMar>
              <w:top w:w="0" w:type="dxa"/>
              <w:left w:w="62" w:type="dxa"/>
              <w:bottom w:w="0" w:type="dxa"/>
              <w:right w:w="62" w:type="dxa"/>
            </w:tcMar>
          </w:tcPr>
          <w:p w:rsidR="00000000" w:rsidP="00CA6456">
            <w:pPr>
              <w:pStyle w:val="BodyText"/>
              <w:rPr>
                <w:lang w:val="en-NZ"/>
              </w:rPr>
            </w:pPr>
            <w:r w:rsidRPr="00CA6456">
              <w:t>4.1</w:t>
            </w:r>
          </w:p>
        </w:tc>
        <w:tc>
          <w:tcPr>
            <w:tcW w:w="5610" w:type="dxa"/>
            <w:tcBorders>
              <w:top w:val="nil"/>
              <w:left w:val="nil"/>
              <w:bottom w:val="nil"/>
              <w:right w:val="nil"/>
            </w:tcBorders>
            <w:tcMar>
              <w:top w:w="0" w:type="dxa"/>
              <w:left w:w="62" w:type="dxa"/>
              <w:bottom w:w="0" w:type="dxa"/>
              <w:right w:w="62" w:type="dxa"/>
            </w:tcMar>
          </w:tcPr>
          <w:p w:rsidR="00000000" w:rsidP="00CA6456">
            <w:pPr>
              <w:pStyle w:val="BodyText"/>
              <w:rPr>
                <w:lang w:val="en-NZ"/>
              </w:rPr>
            </w:pPr>
            <w:r w:rsidRPr="00CA6456">
              <w:t>Identify potential problems which may occur during the die changing and setting process</w:t>
            </w:r>
          </w:p>
        </w:tc>
      </w:tr>
      <w:tr w:rsidTr="00CA645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A6456">
            <w:pPr>
              <w:pStyle w:val="BodyText"/>
              <w:rPr>
                <w:lang w:val="en-NZ"/>
              </w:rPr>
            </w:pPr>
            <w:r w:rsidRPr="00CA6456">
              <w:t>4.2</w:t>
            </w:r>
          </w:p>
        </w:tc>
        <w:tc>
          <w:tcPr>
            <w:tcW w:w="5610" w:type="dxa"/>
            <w:tcBorders>
              <w:top w:val="nil"/>
              <w:left w:val="nil"/>
              <w:bottom w:val="nil"/>
              <w:right w:val="nil"/>
            </w:tcBorders>
            <w:tcMar>
              <w:top w:w="0" w:type="dxa"/>
              <w:left w:w="62" w:type="dxa"/>
              <w:bottom w:w="0" w:type="dxa"/>
              <w:right w:w="62" w:type="dxa"/>
            </w:tcMar>
          </w:tcPr>
          <w:p w:rsidR="00000000" w:rsidP="00CA6456">
            <w:pPr>
              <w:pStyle w:val="BodyText"/>
              <w:rPr>
                <w:lang w:val="en-NZ"/>
              </w:rPr>
            </w:pPr>
            <w:r w:rsidRPr="00CA6456">
              <w:t>Determine possible causes of these problems</w:t>
            </w:r>
          </w:p>
        </w:tc>
      </w:tr>
      <w:tr w:rsidTr="00CA645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A6456">
            <w:pPr>
              <w:pStyle w:val="BodyText"/>
              <w:rPr>
                <w:lang w:val="en-NZ"/>
              </w:rPr>
            </w:pPr>
            <w:r w:rsidRPr="00CA6456">
              <w:t>4.3</w:t>
            </w:r>
          </w:p>
        </w:tc>
        <w:tc>
          <w:tcPr>
            <w:tcW w:w="5610" w:type="dxa"/>
            <w:tcBorders>
              <w:top w:val="nil"/>
              <w:left w:val="nil"/>
              <w:bottom w:val="nil"/>
              <w:right w:val="nil"/>
            </w:tcBorders>
            <w:tcMar>
              <w:top w:w="0" w:type="dxa"/>
              <w:left w:w="62" w:type="dxa"/>
              <w:bottom w:w="0" w:type="dxa"/>
              <w:right w:w="62" w:type="dxa"/>
            </w:tcMar>
          </w:tcPr>
          <w:p w:rsidR="00000000" w:rsidP="00CA6456">
            <w:pPr>
              <w:pStyle w:val="BodyText"/>
              <w:rPr>
                <w:lang w:val="en-NZ"/>
              </w:rPr>
            </w:pPr>
            <w:r w:rsidRPr="00CA6456">
              <w:t>Identify most likely causes and prioritise appropriate actions</w:t>
            </w:r>
          </w:p>
        </w:tc>
      </w:tr>
      <w:tr w:rsidTr="00CA645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A6456">
            <w:pPr>
              <w:pStyle w:val="BodyText"/>
              <w:rPr>
                <w:lang w:val="en-NZ"/>
              </w:rPr>
            </w:pPr>
            <w:r w:rsidRPr="00CA6456">
              <w:t>4.4</w:t>
            </w:r>
          </w:p>
        </w:tc>
        <w:tc>
          <w:tcPr>
            <w:tcW w:w="5610" w:type="dxa"/>
            <w:tcBorders>
              <w:top w:val="nil"/>
              <w:left w:val="nil"/>
              <w:bottom w:val="nil"/>
              <w:right w:val="nil"/>
            </w:tcBorders>
            <w:tcMar>
              <w:top w:w="0" w:type="dxa"/>
              <w:left w:w="62" w:type="dxa"/>
              <w:bottom w:w="0" w:type="dxa"/>
              <w:right w:w="62" w:type="dxa"/>
            </w:tcMar>
          </w:tcPr>
          <w:p w:rsidR="00000000" w:rsidP="00CA6456">
            <w:pPr>
              <w:pStyle w:val="BodyText"/>
              <w:rPr>
                <w:lang w:val="en-NZ"/>
              </w:rPr>
            </w:pPr>
            <w:r w:rsidRPr="00CA6456">
              <w:t>Rectify problems using appropriate solutions within area of responsibility</w:t>
            </w:r>
          </w:p>
        </w:tc>
      </w:tr>
      <w:tr w:rsidTr="00CA645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A6456">
            <w:pPr>
              <w:pStyle w:val="BodyText"/>
              <w:rPr>
                <w:lang w:val="en-NZ"/>
              </w:rPr>
            </w:pPr>
            <w:r w:rsidRPr="00CA6456">
              <w:t>4.5</w:t>
            </w:r>
          </w:p>
        </w:tc>
        <w:tc>
          <w:tcPr>
            <w:tcW w:w="5610" w:type="dxa"/>
            <w:tcBorders>
              <w:top w:val="nil"/>
              <w:left w:val="nil"/>
              <w:bottom w:val="nil"/>
              <w:right w:val="nil"/>
            </w:tcBorders>
            <w:tcMar>
              <w:top w:w="0" w:type="dxa"/>
              <w:left w:w="62" w:type="dxa"/>
              <w:bottom w:w="0" w:type="dxa"/>
              <w:right w:w="62" w:type="dxa"/>
            </w:tcMar>
          </w:tcPr>
          <w:p w:rsidR="00000000" w:rsidRPr="00CA6456" w:rsidP="00CA6456">
            <w:pPr>
              <w:pStyle w:val="BodyText"/>
            </w:pPr>
            <w:r w:rsidRPr="00CA6456">
              <w:t>Recommend improvements in systems or procedures</w:t>
            </w:r>
          </w:p>
        </w:tc>
      </w:tr>
    </w:tbl>
    <w:p w:rsidR="00000000" w:rsidRPr="00CA6456" w:rsidP="00CA6456">
      <w:pPr>
        <w:pStyle w:val="BodyText"/>
      </w:pPr>
    </w:p>
    <w:p w:rsidR="00000000" w:rsidRPr="00CA6456" w:rsidP="00CA6456">
      <w:pPr>
        <w:pStyle w:val="AllowPageBreak"/>
      </w:pPr>
    </w:p>
    <w:p w:rsidR="00000000" w:rsidRPr="00CA6456" w:rsidP="00CA6456">
      <w:pPr>
        <w:pStyle w:val="Heading1"/>
      </w:pPr>
      <w:bookmarkStart w:id="7" w:name="O_927408"/>
      <w:bookmarkEnd w:id="7"/>
      <w:r w:rsidRPr="00CA6456">
        <w:t>Foundation Skills</w:t>
      </w:r>
    </w:p>
    <w:p w:rsidR="00000000" w:rsidRPr="00CA6456" w:rsidP="00C65B13">
      <w:pPr>
        <w:pStyle w:val="BodyText"/>
      </w:pPr>
      <w:r w:rsidRPr="00CA6456">
        <w:t>This section describes those required skills (language, literacy and numeracy) that are essential to performance.</w:t>
      </w:r>
    </w:p>
    <w:p w:rsidR="00000000" w:rsidRPr="00CA6456" w:rsidP="00C65B13">
      <w:pPr>
        <w:pStyle w:val="BodyText"/>
      </w:pPr>
      <w:r w:rsidRPr="00CA6456">
        <w:t>Foundation skills essential to performance are explicit in the performance criteria of this unit of competency.</w:t>
      </w:r>
    </w:p>
    <w:p w:rsidR="00000000" w:rsidRPr="00CA6456" w:rsidP="00CA6456">
      <w:pPr>
        <w:pStyle w:val="Heading1"/>
      </w:pPr>
      <w:bookmarkStart w:id="8" w:name="O_927407"/>
      <w:bookmarkEnd w:id="8"/>
      <w:r w:rsidRPr="00CA6456">
        <w:t>Range of Con</w:t>
      </w:r>
      <w:r w:rsidRPr="00CA6456">
        <w:t>ditions</w:t>
      </w:r>
    </w:p>
    <w:tbl>
      <w:tblPr>
        <w:tblW w:w="0" w:type="auto"/>
        <w:tblCellMar>
          <w:left w:w="62" w:type="dxa"/>
          <w:right w:w="62" w:type="dxa"/>
        </w:tblCellMar>
        <w:tblLook w:val="0000"/>
      </w:tblPr>
      <w:tblGrid>
        <w:gridCol w:w="2163"/>
        <w:gridCol w:w="7033"/>
      </w:tblGrid>
      <w:tr w:rsidTr="00C65B13">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CA6456">
            <w:pPr>
              <w:pStyle w:val="BodyText"/>
              <w:rPr>
                <w:lang w:val="en-NZ"/>
              </w:rPr>
            </w:pPr>
            <w:r w:rsidRPr="00CA6456">
              <w:t>This field allows for different work environments and conditions that may affect performance. Essential operating conditions that may be present (depending on the work situation, needs of the candidate, accessibility of the item, and local industry</w:t>
            </w:r>
            <w:r w:rsidRPr="00CA6456">
              <w:t xml:space="preserve"> and regional contexts) are included.</w:t>
            </w:r>
          </w:p>
        </w:tc>
      </w:tr>
      <w:tr w:rsidTr="00C65B1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A6456" w:rsidP="00CA6456">
            <w:pPr>
              <w:pStyle w:val="BodyText"/>
            </w:pPr>
            <w:r w:rsidRPr="00CA6456">
              <w:rPr>
                <w:rStyle w:val="SpecialBold"/>
              </w:rPr>
              <w:t xml:space="preserve">Regulatory framework </w:t>
            </w:r>
          </w:p>
          <w:p w:rsidR="00000000">
            <w:pPr>
              <w:pStyle w:val="BodyText"/>
              <w:keepLines w:val="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CA6456" w:rsidP="00CA6456">
            <w:pPr>
              <w:pStyle w:val="BodyText"/>
            </w:pPr>
            <w:r w:rsidRPr="00CA6456">
              <w:t>The latest version of all legislation, regulations, industry codes of practice and Australian/international standards, or the version specified by the local regulatory authority, must be used.</w:t>
            </w:r>
          </w:p>
          <w:p w:rsidR="00000000" w:rsidRPr="00CA6456" w:rsidP="00CA6456">
            <w:pPr>
              <w:pStyle w:val="BodyText"/>
            </w:pPr>
          </w:p>
          <w:p w:rsidR="00000000" w:rsidRPr="00CA6456" w:rsidP="00CA6456">
            <w:pPr>
              <w:pStyle w:val="BodyText"/>
            </w:pPr>
            <w:r w:rsidRPr="00CA6456">
              <w:t>Applicable legislation, regulations, standards and codes of practice include:</w:t>
            </w:r>
          </w:p>
          <w:p w:rsidR="00000000" w:rsidRPr="00CA6456" w:rsidP="00CA6456">
            <w:pPr>
              <w:pStyle w:val="ListBullet"/>
            </w:pPr>
            <w:r w:rsidRPr="00CA6456">
              <w:t xml:space="preserve">health, safety and environmental (HSE) legislation, regulations and codes of practice relevant to the workplace, manual handling and hazardous materials </w:t>
            </w:r>
          </w:p>
          <w:p w:rsidR="00000000" w:rsidRPr="00CA6456" w:rsidP="00CA6456">
            <w:pPr>
              <w:pStyle w:val="ListBullet"/>
            </w:pPr>
            <w:r w:rsidRPr="00CA6456">
              <w:t>Australian/internation</w:t>
            </w:r>
            <w:r w:rsidRPr="00CA6456">
              <w:t xml:space="preserve">al standards relevant to the materials being used and products being made </w:t>
            </w:r>
          </w:p>
          <w:p w:rsidR="00000000" w:rsidRPr="00CA6456" w:rsidP="00CA6456">
            <w:pPr>
              <w:pStyle w:val="ListBullet"/>
            </w:pPr>
            <w:r w:rsidRPr="00CA6456">
              <w:t>any relevant licence and certification requirements.</w:t>
            </w:r>
          </w:p>
          <w:p w:rsidR="00000000" w:rsidRPr="00CA6456" w:rsidP="00CA6456">
            <w:pPr>
              <w:pStyle w:val="BodyText"/>
            </w:pPr>
          </w:p>
          <w:p w:rsidR="00000000" w:rsidRPr="00CA6456" w:rsidP="00CA6456">
            <w:pPr>
              <w:pStyle w:val="BodyText"/>
            </w:pPr>
            <w:r w:rsidRPr="00CA6456">
              <w:t>All operations to which this unit applies are subject to stringent HSE requirements, which may be imposed through state/territo</w:t>
            </w:r>
            <w:r w:rsidRPr="00CA6456">
              <w:t>ry or federal legislation, and these must not be compromised at any time. Where there is an apparent conflict between performance criteria and such requirements the legislative requirements take precedence.</w:t>
            </w:r>
          </w:p>
          <w:p w:rsidR="00000000" w:rsidP="00CA6456">
            <w:pPr>
              <w:pStyle w:val="BodyText"/>
              <w:rPr>
                <w:lang w:val="en-NZ"/>
              </w:rPr>
            </w:pPr>
          </w:p>
        </w:tc>
      </w:tr>
      <w:tr w:rsidTr="00C65B1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A6456">
            <w:pPr>
              <w:pStyle w:val="BodyText"/>
              <w:rPr>
                <w:lang w:val="en-NZ"/>
              </w:rPr>
            </w:pPr>
            <w:r w:rsidRPr="00CA6456">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CA6456" w:rsidP="00CA6456">
            <w:pPr>
              <w:pStyle w:val="BodyText"/>
            </w:pPr>
            <w:r w:rsidRPr="00CA6456">
              <w:t xml:space="preserve">All operations must be performed in </w:t>
            </w:r>
            <w:r w:rsidRPr="00CA6456">
              <w:t>accordance with relevant procedures.</w:t>
            </w:r>
          </w:p>
          <w:p w:rsidR="00000000" w:rsidRPr="00CA6456" w:rsidP="00CA6456">
            <w:pPr>
              <w:pStyle w:val="BodyText"/>
            </w:pPr>
          </w:p>
          <w:p w:rsidR="00000000" w:rsidRPr="00CA6456" w:rsidP="00CA6456">
            <w:pPr>
              <w:pStyle w:val="BodyText"/>
            </w:pPr>
            <w:r w:rsidRPr="00CA6456">
              <w:t>Procedures are written, verbal, visual, computer-based or in some other form, and include one or any combination of:</w:t>
            </w:r>
          </w:p>
          <w:p w:rsidR="00000000" w:rsidRPr="00CA6456" w:rsidP="00CA6456">
            <w:pPr>
              <w:pStyle w:val="ListBullet"/>
            </w:pPr>
            <w:r w:rsidRPr="00CA6456">
              <w:t>technical specifications</w:t>
            </w:r>
          </w:p>
          <w:p w:rsidR="00000000" w:rsidRPr="00CA6456" w:rsidP="00CA6456">
            <w:pPr>
              <w:pStyle w:val="ListBullet"/>
            </w:pPr>
            <w:r w:rsidRPr="00CA6456">
              <w:t>technical drawings</w:t>
            </w:r>
          </w:p>
          <w:p w:rsidR="00000000" w:rsidRPr="00CA6456" w:rsidP="00CA6456">
            <w:pPr>
              <w:pStyle w:val="ListBullet"/>
            </w:pPr>
            <w:r w:rsidRPr="00CA6456">
              <w:t>emergency procedures</w:t>
            </w:r>
          </w:p>
          <w:p w:rsidR="00000000" w:rsidRPr="00CA6456" w:rsidP="00CA6456">
            <w:pPr>
              <w:pStyle w:val="ListBullet"/>
            </w:pPr>
            <w:r w:rsidRPr="00CA6456">
              <w:t>work instructions</w:t>
            </w:r>
          </w:p>
          <w:p w:rsidR="00000000" w:rsidRPr="00CA6456" w:rsidP="00CA6456">
            <w:pPr>
              <w:pStyle w:val="ListBullet"/>
            </w:pPr>
            <w:r w:rsidRPr="00CA6456">
              <w:t>standard operating procedures (SOPs)</w:t>
            </w:r>
          </w:p>
          <w:p w:rsidR="00000000" w:rsidRPr="00CA6456" w:rsidP="00CA6456">
            <w:pPr>
              <w:pStyle w:val="ListBullet"/>
            </w:pPr>
            <w:r w:rsidRPr="00CA6456">
              <w:t>safe work method statements (SWMS)</w:t>
            </w:r>
          </w:p>
          <w:p w:rsidR="00000000" w:rsidRPr="00CA6456" w:rsidP="00CA6456">
            <w:pPr>
              <w:pStyle w:val="ListBullet"/>
            </w:pPr>
            <w:r w:rsidRPr="00CA6456">
              <w:t>formulas/recipes</w:t>
            </w:r>
          </w:p>
          <w:p w:rsidR="00000000" w:rsidRPr="00CA6456" w:rsidP="00CA6456">
            <w:pPr>
              <w:pStyle w:val="ListBullet"/>
            </w:pPr>
            <w:r w:rsidRPr="00CA6456">
              <w:t>batch sheets</w:t>
            </w:r>
          </w:p>
          <w:p w:rsidR="00000000" w:rsidRPr="00CA6456" w:rsidP="00CA6456">
            <w:pPr>
              <w:pStyle w:val="ListBullet"/>
            </w:pPr>
            <w:r w:rsidRPr="00CA6456">
              <w:t>temporary instructions</w:t>
            </w:r>
          </w:p>
          <w:p w:rsidR="00000000" w:rsidRPr="00CA6456" w:rsidP="00CA6456">
            <w:pPr>
              <w:pStyle w:val="ListBullet"/>
            </w:pPr>
            <w:r w:rsidRPr="00CA6456">
              <w:t>any similar instructions provided for the smooth running of the plant.</w:t>
            </w:r>
          </w:p>
          <w:p w:rsidR="00000000" w:rsidP="00CA6456">
            <w:pPr>
              <w:pStyle w:val="BodyText"/>
              <w:rPr>
                <w:lang w:val="en-NZ"/>
              </w:rPr>
            </w:pPr>
          </w:p>
        </w:tc>
      </w:tr>
      <w:tr w:rsidTr="00C65B1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A6456">
            <w:pPr>
              <w:pStyle w:val="BodyText"/>
              <w:rPr>
                <w:lang w:val="en-NZ"/>
              </w:rPr>
            </w:pPr>
            <w:r w:rsidRPr="00CA6456">
              <w:rPr>
                <w:rStyle w:val="SpecialBold"/>
              </w:rPr>
              <w:t>Die</w:t>
            </w:r>
          </w:p>
        </w:tc>
        <w:tc>
          <w:tcPr>
            <w:tcW w:w="0" w:type="auto"/>
            <w:tcBorders>
              <w:top w:val="nil"/>
              <w:left w:val="nil"/>
              <w:bottom w:val="nil"/>
              <w:right w:val="nil"/>
            </w:tcBorders>
            <w:tcMar>
              <w:top w:w="0" w:type="dxa"/>
              <w:left w:w="62" w:type="dxa"/>
              <w:bottom w:w="0" w:type="dxa"/>
              <w:right w:w="62" w:type="dxa"/>
            </w:tcMar>
          </w:tcPr>
          <w:p w:rsidR="00000000" w:rsidRPr="00CA6456" w:rsidP="00CA6456">
            <w:pPr>
              <w:pStyle w:val="BodyText"/>
            </w:pPr>
            <w:r w:rsidRPr="00CA6456">
              <w:t>A die is a former used to give shape to the product an</w:t>
            </w:r>
            <w:r w:rsidRPr="00CA6456">
              <w:t xml:space="preserve">d used under pressure. Dies are typically used in the extrusion, injection, blow moulding and general rubber sectors. </w:t>
            </w:r>
          </w:p>
          <w:p w:rsidR="00000000" w:rsidRPr="00CA6456" w:rsidP="00CA6456">
            <w:pPr>
              <w:pStyle w:val="BodyText"/>
            </w:pPr>
          </w:p>
          <w:p w:rsidR="00000000" w:rsidRPr="00CA6456" w:rsidP="00CA6456">
            <w:pPr>
              <w:pStyle w:val="BodyText"/>
            </w:pPr>
            <w:r w:rsidRPr="00CA6456">
              <w:t xml:space="preserve">Dies which are not subject to pressure are referred to as </w:t>
            </w:r>
            <w:r>
              <w:t>‘</w:t>
            </w:r>
            <w:r w:rsidRPr="00CA6456">
              <w:t>moulds</w:t>
            </w:r>
            <w:r>
              <w:t>’</w:t>
            </w:r>
            <w:r w:rsidRPr="00CA6456">
              <w:t xml:space="preserve"> in this Training Package.</w:t>
            </w:r>
          </w:p>
          <w:p w:rsidR="00000000" w:rsidP="00CA6456">
            <w:pPr>
              <w:pStyle w:val="BodyText"/>
              <w:rPr>
                <w:lang w:val="en-NZ"/>
              </w:rPr>
            </w:pPr>
          </w:p>
        </w:tc>
      </w:tr>
      <w:tr w:rsidTr="00C65B1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A6456">
            <w:pPr>
              <w:pStyle w:val="BodyText"/>
              <w:rPr>
                <w:lang w:val="en-NZ"/>
              </w:rPr>
            </w:pPr>
            <w:r w:rsidRPr="00CA6456">
              <w:rPr>
                <w:rStyle w:val="SpecialBold"/>
              </w:rPr>
              <w:t>Advanced die</w:t>
            </w:r>
          </w:p>
        </w:tc>
        <w:tc>
          <w:tcPr>
            <w:tcW w:w="0" w:type="auto"/>
            <w:tcBorders>
              <w:top w:val="nil"/>
              <w:left w:val="nil"/>
              <w:bottom w:val="nil"/>
              <w:right w:val="nil"/>
            </w:tcBorders>
            <w:tcMar>
              <w:top w:w="0" w:type="dxa"/>
              <w:left w:w="62" w:type="dxa"/>
              <w:bottom w:w="0" w:type="dxa"/>
              <w:right w:w="62" w:type="dxa"/>
            </w:tcMar>
          </w:tcPr>
          <w:p w:rsidR="00000000" w:rsidRPr="00CA6456" w:rsidP="00CA6456">
            <w:pPr>
              <w:pStyle w:val="BodyText"/>
            </w:pPr>
            <w:r w:rsidRPr="00CA6456">
              <w:t>An advanced die is a two or three plate die which has one or more product forming components which:</w:t>
            </w:r>
          </w:p>
          <w:p w:rsidR="00000000" w:rsidRPr="00CA6456" w:rsidP="00CA6456">
            <w:pPr>
              <w:pStyle w:val="ListBullet"/>
            </w:pPr>
            <w:r w:rsidRPr="00CA6456">
              <w:t>move in a direction other than the mould open axis</w:t>
            </w:r>
          </w:p>
          <w:p w:rsidR="00000000" w:rsidRPr="00CA6456" w:rsidP="00CA6456">
            <w:pPr>
              <w:pStyle w:val="ListBullet"/>
            </w:pPr>
            <w:r w:rsidRPr="00CA6456">
              <w:t>are driven by the mould rather than external actuation.</w:t>
            </w:r>
          </w:p>
          <w:p w:rsidR="00000000" w:rsidRPr="00CA6456" w:rsidP="00CA6456">
            <w:pPr>
              <w:pStyle w:val="BodyText"/>
            </w:pPr>
          </w:p>
          <w:p w:rsidR="00000000" w:rsidRPr="00CA6456" w:rsidP="00CA6456">
            <w:pPr>
              <w:pStyle w:val="BodyText"/>
            </w:pPr>
            <w:r w:rsidRPr="00CA6456">
              <w:t>An advanced die will typically feature one or m</w:t>
            </w:r>
            <w:r w:rsidRPr="00CA6456">
              <w:t xml:space="preserve">ore of: </w:t>
            </w:r>
          </w:p>
          <w:p w:rsidR="00000000" w:rsidRPr="00CA6456" w:rsidP="00CA6456">
            <w:pPr>
              <w:pStyle w:val="ListBullet"/>
            </w:pPr>
            <w:r w:rsidRPr="00CA6456">
              <w:t>sliding blocks or cores actuated by skew pins or cams</w:t>
            </w:r>
          </w:p>
          <w:p w:rsidR="00000000" w:rsidRPr="00CA6456" w:rsidP="00CA6456">
            <w:pPr>
              <w:pStyle w:val="ListBullet"/>
            </w:pPr>
            <w:r w:rsidRPr="00CA6456">
              <w:t>baffled, spiral, tube, and heat pipe cooling systems</w:t>
            </w:r>
          </w:p>
          <w:p w:rsidR="00000000" w:rsidRPr="00CA6456" w:rsidP="00CA6456">
            <w:pPr>
              <w:pStyle w:val="ListBullet"/>
            </w:pPr>
            <w:r w:rsidRPr="00CA6456">
              <w:t xml:space="preserve">rising cores </w:t>
            </w:r>
          </w:p>
          <w:p w:rsidR="00000000" w:rsidRPr="00CA6456" w:rsidP="00CA6456">
            <w:pPr>
              <w:pStyle w:val="ListBullet"/>
            </w:pPr>
            <w:r w:rsidRPr="00CA6456">
              <w:t>internally actuated unscrewing systems.</w:t>
            </w:r>
          </w:p>
          <w:p w:rsidR="00000000" w:rsidP="00CA6456">
            <w:pPr>
              <w:pStyle w:val="BodyText"/>
              <w:rPr>
                <w:lang w:val="en-NZ"/>
              </w:rPr>
            </w:pPr>
          </w:p>
        </w:tc>
      </w:tr>
      <w:tr w:rsidTr="00C65B1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A6456">
            <w:pPr>
              <w:pStyle w:val="BodyText"/>
              <w:rPr>
                <w:lang w:val="en-NZ"/>
              </w:rPr>
            </w:pPr>
            <w:r w:rsidRPr="00CA6456">
              <w:rPr>
                <w:rStyle w:val="SpecialBold"/>
              </w:rPr>
              <w:t>Complex die</w:t>
            </w:r>
          </w:p>
        </w:tc>
        <w:tc>
          <w:tcPr>
            <w:tcW w:w="0" w:type="auto"/>
            <w:tcBorders>
              <w:top w:val="nil"/>
              <w:left w:val="nil"/>
              <w:bottom w:val="nil"/>
              <w:right w:val="nil"/>
            </w:tcBorders>
            <w:tcMar>
              <w:top w:w="0" w:type="dxa"/>
              <w:left w:w="62" w:type="dxa"/>
              <w:bottom w:w="0" w:type="dxa"/>
              <w:right w:w="62" w:type="dxa"/>
            </w:tcMar>
          </w:tcPr>
          <w:p w:rsidR="00000000" w:rsidRPr="00CA6456" w:rsidP="00CA6456">
            <w:pPr>
              <w:pStyle w:val="BodyText"/>
            </w:pPr>
            <w:r w:rsidRPr="00CA6456">
              <w:t>A complex die is either:</w:t>
            </w:r>
          </w:p>
          <w:p w:rsidR="00000000" w:rsidRPr="00CA6456" w:rsidP="00CA6456">
            <w:pPr>
              <w:pStyle w:val="ListBullet"/>
            </w:pPr>
            <w:r w:rsidRPr="00CA6456">
              <w:t>a die which has one or more product forming c</w:t>
            </w:r>
            <w:r w:rsidRPr="00CA6456">
              <w:t>omponents that:</w:t>
            </w:r>
          </w:p>
          <w:p w:rsidR="00000000" w:rsidRPr="00CA6456" w:rsidP="00CA6456">
            <w:pPr>
              <w:pStyle w:val="ListBullet"/>
            </w:pPr>
            <w:r w:rsidRPr="00CA6456">
              <w:t>use an external power and control source to actuate product forming components</w:t>
            </w:r>
          </w:p>
          <w:p w:rsidR="00000000" w:rsidRPr="00CA6456" w:rsidP="00CA6456">
            <w:pPr>
              <w:pStyle w:val="ListBullet"/>
            </w:pPr>
            <w:r w:rsidRPr="00CA6456">
              <w:t>move in a direction other than the mould open axis</w:t>
            </w:r>
          </w:p>
          <w:p w:rsidR="00000000" w:rsidRPr="00CA6456" w:rsidP="00CA6456">
            <w:pPr>
              <w:pStyle w:val="ListBullet"/>
            </w:pPr>
            <w:r w:rsidRPr="00CA6456">
              <w:t>require sequencing with the mould operation</w:t>
            </w:r>
          </w:p>
          <w:p w:rsidR="00000000" w:rsidRPr="00CA6456" w:rsidP="00CA6456">
            <w:pPr>
              <w:pStyle w:val="ListBullet"/>
            </w:pPr>
            <w:r w:rsidRPr="00CA6456">
              <w:t>a mould which retains molten material within the mould between cycles.</w:t>
            </w:r>
          </w:p>
          <w:p w:rsidR="00000000" w:rsidRPr="00CA6456" w:rsidP="00CA6456">
            <w:pPr>
              <w:pStyle w:val="BodyText"/>
            </w:pPr>
          </w:p>
          <w:p w:rsidR="00000000" w:rsidRPr="00CA6456" w:rsidP="00CA6456">
            <w:pPr>
              <w:pStyle w:val="BodyText"/>
            </w:pPr>
            <w:r w:rsidRPr="00CA6456">
              <w:t xml:space="preserve">A complex die will typically feature one or more of: </w:t>
            </w:r>
          </w:p>
          <w:p w:rsidR="00000000" w:rsidRPr="00CA6456" w:rsidP="00CA6456">
            <w:pPr>
              <w:pStyle w:val="ListBullet"/>
            </w:pPr>
            <w:r w:rsidRPr="00CA6456">
              <w:t>hot runners</w:t>
            </w:r>
          </w:p>
          <w:p w:rsidR="00000000" w:rsidRPr="00CA6456" w:rsidP="00CA6456">
            <w:pPr>
              <w:pStyle w:val="ListBullet"/>
            </w:pPr>
            <w:r w:rsidRPr="00CA6456">
              <w:t>insulated runners</w:t>
            </w:r>
          </w:p>
          <w:p w:rsidR="00000000" w:rsidRPr="00CA6456" w:rsidP="00CA6456">
            <w:pPr>
              <w:pStyle w:val="ListBullet"/>
            </w:pPr>
            <w:r w:rsidRPr="00CA6456">
              <w:t>externally actuated sliding blocks, cores and unscrewing systems</w:t>
            </w:r>
          </w:p>
          <w:p w:rsidR="00000000" w:rsidRPr="00CA6456" w:rsidP="00CA6456">
            <w:pPr>
              <w:pStyle w:val="ListBullet"/>
            </w:pPr>
            <w:r w:rsidRPr="00CA6456">
              <w:t>safety interlocks.</w:t>
            </w:r>
          </w:p>
          <w:p w:rsidR="00000000" w:rsidP="00CA6456">
            <w:pPr>
              <w:pStyle w:val="BodyText"/>
              <w:rPr>
                <w:lang w:val="en-NZ"/>
              </w:rPr>
            </w:pPr>
          </w:p>
        </w:tc>
      </w:tr>
      <w:tr w:rsidTr="00C65B1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A6456">
            <w:pPr>
              <w:pStyle w:val="BodyText"/>
              <w:rPr>
                <w:lang w:val="en-NZ"/>
              </w:rPr>
            </w:pPr>
            <w:r w:rsidRPr="00CA6456">
              <w:rPr>
                <w:rStyle w:val="SpecialBold"/>
              </w:rPr>
              <w:t>Tools and equ</w:t>
            </w:r>
            <w:r w:rsidRPr="00CA6456">
              <w:rPr>
                <w:rStyle w:val="SpecialBold"/>
              </w:rPr>
              <w:t>ipment</w:t>
            </w:r>
          </w:p>
        </w:tc>
        <w:tc>
          <w:tcPr>
            <w:tcW w:w="0" w:type="auto"/>
            <w:tcBorders>
              <w:top w:val="nil"/>
              <w:left w:val="nil"/>
              <w:bottom w:val="nil"/>
              <w:right w:val="nil"/>
            </w:tcBorders>
            <w:tcMar>
              <w:top w:w="0" w:type="dxa"/>
              <w:left w:w="62" w:type="dxa"/>
              <w:bottom w:w="0" w:type="dxa"/>
              <w:right w:w="62" w:type="dxa"/>
            </w:tcMar>
          </w:tcPr>
          <w:p w:rsidR="00000000" w:rsidRPr="00CA6456" w:rsidP="00CA6456">
            <w:pPr>
              <w:pStyle w:val="BodyText"/>
            </w:pPr>
            <w:r w:rsidRPr="00CA6456">
              <w:t>Tools and equipment include:</w:t>
            </w:r>
          </w:p>
          <w:p w:rsidR="00000000" w:rsidRPr="00CA6456" w:rsidP="00CA6456">
            <w:pPr>
              <w:pStyle w:val="ListBullet"/>
            </w:pPr>
            <w:r w:rsidRPr="00CA6456">
              <w:t>dies/tools</w:t>
            </w:r>
          </w:p>
          <w:p w:rsidR="00000000" w:rsidRPr="00CA6456" w:rsidP="00CA6456">
            <w:pPr>
              <w:pStyle w:val="ListBullet"/>
            </w:pPr>
            <w:r w:rsidRPr="00CA6456">
              <w:t>ancillary equipment, including one or more of:</w:t>
            </w:r>
          </w:p>
          <w:p w:rsidR="00000000" w:rsidRPr="00CA6456" w:rsidP="00CA6456">
            <w:pPr>
              <w:pStyle w:val="ListBullet2"/>
            </w:pPr>
            <w:r w:rsidRPr="00CA6456">
              <w:t>hot-runner temperature control</w:t>
            </w:r>
          </w:p>
          <w:p w:rsidR="00000000" w:rsidRPr="00CA6456" w:rsidP="00CA6456">
            <w:pPr>
              <w:pStyle w:val="ListBullet2"/>
            </w:pPr>
            <w:r w:rsidRPr="00CA6456">
              <w:t>hydraulic or pneumatic power supply for actuation of equipment, such as cores or sliding blocks</w:t>
            </w:r>
          </w:p>
          <w:p w:rsidR="00000000" w:rsidRPr="00CA6456" w:rsidP="00CA6456">
            <w:pPr>
              <w:pStyle w:val="ListBullet2"/>
            </w:pPr>
            <w:r w:rsidRPr="00CA6456">
              <w:t>mould temperature control</w:t>
            </w:r>
          </w:p>
          <w:p w:rsidR="00000000" w:rsidRPr="00CA6456" w:rsidP="00CA6456">
            <w:pPr>
              <w:pStyle w:val="ListBullet"/>
            </w:pPr>
            <w:r w:rsidRPr="00CA6456">
              <w:t>hand/power tools used in this process.</w:t>
            </w:r>
          </w:p>
          <w:p w:rsidR="00000000" w:rsidRPr="00CA6456" w:rsidP="00CA6456">
            <w:pPr>
              <w:pStyle w:val="BodyText"/>
            </w:pPr>
          </w:p>
          <w:p w:rsidR="00000000" w:rsidRPr="00CA6456" w:rsidP="00CA6456">
            <w:pPr>
              <w:pStyle w:val="BodyText"/>
            </w:pPr>
            <w:r w:rsidRPr="00CA6456">
              <w:t>Additional tools and equipment will be selected as required from:</w:t>
            </w:r>
          </w:p>
          <w:p w:rsidR="00000000" w:rsidRPr="00CA6456" w:rsidP="00CA6456">
            <w:pPr>
              <w:pStyle w:val="ListBullet"/>
            </w:pPr>
            <w:r w:rsidRPr="00CA6456">
              <w:t xml:space="preserve">hoists/lifting equipment not requiring any special permits or licences </w:t>
            </w:r>
          </w:p>
          <w:p w:rsidR="00000000" w:rsidRPr="00CA6456" w:rsidP="00CA6456">
            <w:pPr>
              <w:pStyle w:val="ListBullet"/>
            </w:pPr>
            <w:r w:rsidRPr="00CA6456">
              <w:t>manual handling, aids such as hand carts and trolleys</w:t>
            </w:r>
          </w:p>
          <w:p w:rsidR="00000000" w:rsidRPr="00CA6456" w:rsidP="00CA6456">
            <w:pPr>
              <w:pStyle w:val="ListBullet"/>
            </w:pPr>
            <w:r w:rsidRPr="00CA6456">
              <w:t>relevant personal prote</w:t>
            </w:r>
            <w:r w:rsidRPr="00CA6456">
              <w:t>ctive equipment (PPE).</w:t>
            </w:r>
          </w:p>
          <w:p w:rsidR="00000000" w:rsidP="00CA6456">
            <w:pPr>
              <w:pStyle w:val="BodyText"/>
              <w:rPr>
                <w:lang w:val="en-NZ"/>
              </w:rPr>
            </w:pPr>
          </w:p>
        </w:tc>
      </w:tr>
      <w:tr w:rsidTr="00C65B1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A6456">
            <w:pPr>
              <w:pStyle w:val="BodyText"/>
              <w:rPr>
                <w:lang w:val="en-NZ"/>
              </w:rPr>
            </w:pPr>
            <w:r w:rsidRPr="00CA6456">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CA6456" w:rsidP="00CA6456">
            <w:pPr>
              <w:pStyle w:val="BodyText"/>
            </w:pPr>
            <w:r w:rsidRPr="00CA6456">
              <w:t>Hazards must be identified and controlled. Identifying hazards requires consideration of:</w:t>
            </w:r>
          </w:p>
          <w:p w:rsidR="00000000" w:rsidRPr="00CA6456" w:rsidP="00CA6456">
            <w:pPr>
              <w:pStyle w:val="ListBullet"/>
            </w:pPr>
            <w:r w:rsidRPr="00CA6456">
              <w:t>weight, shape, volume of materials to be handled</w:t>
            </w:r>
          </w:p>
          <w:p w:rsidR="00000000" w:rsidRPr="00CA6456" w:rsidP="00CA6456">
            <w:pPr>
              <w:pStyle w:val="ListBullet"/>
            </w:pPr>
            <w:r w:rsidRPr="00CA6456">
              <w:t>hazardous products and materials</w:t>
            </w:r>
          </w:p>
          <w:p w:rsidR="00000000" w:rsidRPr="00CA6456" w:rsidP="00CA6456">
            <w:pPr>
              <w:pStyle w:val="ListBullet"/>
            </w:pPr>
            <w:r w:rsidRPr="00CA6456">
              <w:t>rotational equipment or vibration</w:t>
            </w:r>
          </w:p>
          <w:p w:rsidR="00000000" w:rsidRPr="00CA6456" w:rsidP="00CA6456">
            <w:pPr>
              <w:pStyle w:val="ListBullet"/>
            </w:pPr>
            <w:r w:rsidRPr="00CA6456">
              <w:t>sharp edges, protrusions or obstructions</w:t>
            </w:r>
          </w:p>
          <w:p w:rsidR="00000000" w:rsidRPr="00CA6456" w:rsidP="00CA6456">
            <w:pPr>
              <w:pStyle w:val="ListBullet"/>
            </w:pPr>
            <w:r w:rsidRPr="00CA6456">
              <w:t>slippery surfaces, spills or leaks</w:t>
            </w:r>
          </w:p>
          <w:p w:rsidR="00000000" w:rsidRPr="00CA6456" w:rsidP="00CA6456">
            <w:pPr>
              <w:pStyle w:val="ListBullet"/>
            </w:pPr>
            <w:r w:rsidRPr="00CA6456">
              <w:t>smoke, dust or other atmospheric hazards</w:t>
            </w:r>
          </w:p>
          <w:p w:rsidR="00000000" w:rsidRPr="00CA6456" w:rsidP="00CA6456">
            <w:pPr>
              <w:pStyle w:val="ListBullet"/>
            </w:pPr>
            <w:r w:rsidRPr="00CA6456">
              <w:t>high temperatures</w:t>
            </w:r>
          </w:p>
          <w:p w:rsidR="00000000" w:rsidRPr="00CA6456" w:rsidP="00CA6456">
            <w:pPr>
              <w:pStyle w:val="ListBullet"/>
            </w:pPr>
            <w:r w:rsidRPr="00CA6456">
              <w:t>electricity</w:t>
            </w:r>
          </w:p>
          <w:p w:rsidR="00000000" w:rsidRPr="00CA6456" w:rsidP="00CA6456">
            <w:pPr>
              <w:pStyle w:val="ListBullet"/>
            </w:pPr>
            <w:r w:rsidRPr="00CA6456">
              <w:t>gas</w:t>
            </w:r>
          </w:p>
          <w:p w:rsidR="00000000" w:rsidRPr="00CA6456" w:rsidP="00CA6456">
            <w:pPr>
              <w:pStyle w:val="ListBullet"/>
            </w:pPr>
            <w:r w:rsidRPr="00CA6456">
              <w:t xml:space="preserve">gases and liquids under pressure </w:t>
            </w:r>
          </w:p>
          <w:p w:rsidR="00000000" w:rsidRPr="00CA6456" w:rsidP="00CA6456">
            <w:pPr>
              <w:pStyle w:val="ListBullet"/>
            </w:pPr>
            <w:r w:rsidRPr="00CA6456">
              <w:t>structural hazards</w:t>
            </w:r>
          </w:p>
          <w:p w:rsidR="00000000" w:rsidRPr="00CA6456" w:rsidP="00CA6456">
            <w:pPr>
              <w:pStyle w:val="ListBullet"/>
            </w:pPr>
            <w:r w:rsidRPr="00CA6456">
              <w:t>equipment failures</w:t>
            </w:r>
          </w:p>
          <w:p w:rsidR="00000000" w:rsidRPr="00CA6456" w:rsidP="00CA6456">
            <w:pPr>
              <w:pStyle w:val="ListBullet"/>
            </w:pPr>
            <w:r w:rsidRPr="00CA6456">
              <w:t xml:space="preserve">machinery, equipment and product </w:t>
            </w:r>
            <w:r w:rsidRPr="00CA6456">
              <w:t>mass</w:t>
            </w:r>
          </w:p>
          <w:p w:rsidR="00000000" w:rsidRPr="00CA6456" w:rsidP="00CA6456">
            <w:pPr>
              <w:pStyle w:val="ListBullet"/>
            </w:pPr>
            <w:r w:rsidRPr="00CA6456">
              <w:t>other hazards that might arise.</w:t>
            </w:r>
          </w:p>
          <w:p w:rsidR="00000000" w:rsidRPr="00CA6456" w:rsidP="00CA6456">
            <w:pPr>
              <w:pStyle w:val="BodyText"/>
            </w:pPr>
          </w:p>
        </w:tc>
      </w:tr>
    </w:tbl>
    <w:p w:rsidR="00000000" w:rsidRPr="00CA6456" w:rsidP="00CA6456">
      <w:pPr>
        <w:pStyle w:val="BodyText"/>
      </w:pPr>
    </w:p>
    <w:p w:rsidR="00000000" w:rsidRPr="00CA6456" w:rsidP="00CA6456">
      <w:pPr>
        <w:pStyle w:val="AllowPageBreak"/>
      </w:pPr>
    </w:p>
    <w:p w:rsidR="00000000" w:rsidRPr="00CA6456" w:rsidP="00CA6456">
      <w:pPr>
        <w:pStyle w:val="Heading1"/>
      </w:pPr>
      <w:bookmarkStart w:id="9" w:name="O_927406"/>
      <w:bookmarkEnd w:id="9"/>
      <w:r w:rsidRPr="00CA6456">
        <w:t>Unit Mapping Information</w:t>
      </w:r>
    </w:p>
    <w:p w:rsidR="00000000" w:rsidRPr="00CA6456" w:rsidP="00C65B13">
      <w:pPr>
        <w:pStyle w:val="BodyText"/>
      </w:pPr>
      <w:r w:rsidRPr="00CA6456">
        <w:t>Release 1. Supersedes and is equivalent to PMBTECH402B Set advanced or complex dies</w:t>
      </w:r>
    </w:p>
    <w:p w:rsidR="00000000" w:rsidRPr="00CA6456" w:rsidP="00CA6456">
      <w:pPr>
        <w:pStyle w:val="Heading1"/>
      </w:pPr>
      <w:bookmarkStart w:id="10" w:name="O_927399"/>
      <w:bookmarkEnd w:id="10"/>
      <w:r w:rsidRPr="00CA6456">
        <w:t>Links</w:t>
      </w:r>
    </w:p>
    <w:p w:rsidR="00000000" w:rsidRPr="00CA6456" w:rsidP="00C65B13">
      <w:pPr>
        <w:pStyle w:val="BodyText"/>
      </w:pPr>
      <w:r w:rsidRPr="00CA6456">
        <w:t xml:space="preserve">Companion Volume implementation guides are found in VETNet - </w:t>
      </w:r>
      <w:r>
        <w:fldChar w:fldCharType="begin"/>
      </w:r>
      <w:r>
        <w:instrText xml:space="preserve"> HYPERLINK "https://vetnet.gov.au/Pages/TrainingDocs.aspx?q=932aacef-7947-4c80-acc6-593719fe4090" </w:instrText>
      </w:r>
      <w:r>
        <w:fldChar w:fldCharType="separate"/>
      </w:r>
      <w:r w:rsidRPr="00CD596F">
        <w:rPr>
          <w:rStyle w:val="Hyperlink"/>
        </w:rPr>
        <w:t>https://vetnet.gov.au/Pages/TrainingDocs.aspx?q=932aacef-7947-4c80-acc6-593719fe4090</w:t>
      </w:r>
      <w:r>
        <w:fldChar w:fldCharType="end"/>
      </w:r>
    </w:p>
    <w:p w:rsidR="00000000" w:rsidRPr="00CA6456" w:rsidP="00CA6456"/>
    <w:sectPr w:rsidSect="00CA645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645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6456" w:rsidRPr="00C65B13" w:rsidP="00C65B1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645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5B13" w:rsidP="00CA645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C65B13" w:rsidP="00CA6456">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65B13" w:rsidP="00CA645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645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5B1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A6456" w:rsidRPr="00C65B13" w:rsidP="00C65B1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645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5B13" w:rsidRPr="002D2AF8" w:rsidP="00CA6456">
    <w:pPr>
      <w:pStyle w:val="Header"/>
      <w:framePr w:wrap="around"/>
    </w:pPr>
    <w:r>
      <w:fldChar w:fldCharType="begin"/>
    </w:r>
    <w:r>
      <w:instrText xml:space="preserve"> TITLE   \* MERGEFORMAT </w:instrText>
    </w:r>
    <w:r>
      <w:fldChar w:fldCharType="separate"/>
    </w:r>
    <w:r>
      <w:t>PMBTECH402 Set advanced or complex dies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C65B13" w:rsidP="00CA645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E303FA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95A20B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A24546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645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A6456"/>
    <w:pPr>
      <w:spacing w:before="360" w:after="60"/>
      <w:outlineLvl w:val="0"/>
    </w:pPr>
    <w:rPr>
      <w:sz w:val="32"/>
    </w:rPr>
  </w:style>
  <w:style w:type="paragraph" w:styleId="Heading2">
    <w:name w:val="heading 2"/>
    <w:basedOn w:val="HeadingBase"/>
    <w:next w:val="BodyText"/>
    <w:link w:val="Heading2Char"/>
    <w:qFormat/>
    <w:rsid w:val="00CA6456"/>
    <w:pPr>
      <w:keepLines/>
      <w:spacing w:before="240" w:after="120"/>
      <w:outlineLvl w:val="1"/>
    </w:pPr>
    <w:rPr>
      <w:sz w:val="28"/>
      <w:szCs w:val="40"/>
    </w:rPr>
  </w:style>
  <w:style w:type="paragraph" w:styleId="Heading3">
    <w:name w:val="heading 3"/>
    <w:basedOn w:val="HeadingBase"/>
    <w:next w:val="BodyText"/>
    <w:link w:val="Heading3Char"/>
    <w:qFormat/>
    <w:rsid w:val="00CA6456"/>
    <w:pPr>
      <w:spacing w:before="180" w:after="120"/>
      <w:outlineLvl w:val="2"/>
    </w:pPr>
    <w:rPr>
      <w:spacing w:val="-10"/>
      <w:kern w:val="32"/>
    </w:rPr>
  </w:style>
  <w:style w:type="paragraph" w:styleId="Heading4">
    <w:name w:val="heading 4"/>
    <w:basedOn w:val="HeadingBase"/>
    <w:next w:val="BodyText"/>
    <w:link w:val="Heading4Char"/>
    <w:qFormat/>
    <w:rsid w:val="00CA6456"/>
    <w:pPr>
      <w:spacing w:before="160" w:after="120"/>
      <w:outlineLvl w:val="3"/>
    </w:pPr>
    <w:rPr>
      <w:sz w:val="22"/>
    </w:rPr>
  </w:style>
  <w:style w:type="paragraph" w:styleId="Heading5">
    <w:name w:val="heading 5"/>
    <w:basedOn w:val="HeadingBase"/>
    <w:next w:val="Normal"/>
    <w:link w:val="Heading5Char"/>
    <w:qFormat/>
    <w:rsid w:val="00CA6456"/>
    <w:pPr>
      <w:spacing w:before="80"/>
      <w:outlineLvl w:val="4"/>
    </w:pPr>
    <w:rPr>
      <w:color w:val="918585"/>
      <w:sz w:val="20"/>
    </w:rPr>
  </w:style>
  <w:style w:type="paragraph" w:styleId="Heading6">
    <w:name w:val="heading 6"/>
    <w:basedOn w:val="HeadingBase"/>
    <w:next w:val="Normal"/>
    <w:link w:val="Heading6Char"/>
    <w:qFormat/>
    <w:rsid w:val="00CA6456"/>
    <w:pPr>
      <w:spacing w:before="60"/>
      <w:outlineLvl w:val="5"/>
    </w:pPr>
    <w:rPr>
      <w:color w:val="918585"/>
      <w:sz w:val="20"/>
    </w:rPr>
  </w:style>
  <w:style w:type="paragraph" w:styleId="Heading7">
    <w:name w:val="heading 7"/>
    <w:basedOn w:val="Normal"/>
    <w:next w:val="Normal"/>
    <w:link w:val="Heading7Char"/>
    <w:qFormat/>
    <w:rsid w:val="00CA6456"/>
    <w:pPr>
      <w:ind w:left="720"/>
      <w:outlineLvl w:val="6"/>
    </w:pPr>
    <w:rPr>
      <w:i/>
    </w:rPr>
  </w:style>
  <w:style w:type="paragraph" w:styleId="Heading8">
    <w:name w:val="heading 8"/>
    <w:basedOn w:val="Normal"/>
    <w:next w:val="Normal"/>
    <w:link w:val="Heading8Char"/>
    <w:qFormat/>
    <w:rsid w:val="00CA6456"/>
    <w:pPr>
      <w:ind w:left="720"/>
      <w:outlineLvl w:val="7"/>
    </w:pPr>
    <w:rPr>
      <w:i/>
    </w:rPr>
  </w:style>
  <w:style w:type="paragraph" w:styleId="Heading9">
    <w:name w:val="heading 9"/>
    <w:basedOn w:val="Normal"/>
    <w:next w:val="Normal"/>
    <w:link w:val="Heading9Char"/>
    <w:qFormat/>
    <w:rsid w:val="00CA6456"/>
    <w:pPr>
      <w:ind w:left="720"/>
      <w:outlineLvl w:val="8"/>
    </w:pPr>
    <w:rPr>
      <w:i/>
    </w:rPr>
  </w:style>
  <w:style w:type="character" w:default="1" w:styleId="DefaultParagraphFont">
    <w:name w:val="Default Paragraph Font"/>
    <w:uiPriority w:val="1"/>
    <w:unhideWhenUsed/>
    <w:rsid w:val="00CA645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A6456"/>
  </w:style>
  <w:style w:type="character" w:customStyle="1" w:styleId="Heading1Char">
    <w:name w:val="Heading 1 Char"/>
    <w:basedOn w:val="DefaultParagraphFont"/>
    <w:link w:val="Heading1"/>
    <w:rsid w:val="00CA6456"/>
    <w:rPr>
      <w:rFonts w:ascii="Times New Roman" w:eastAsia="Times New Roman" w:hAnsi="Times New Roman" w:cs="Times New Roman"/>
      <w:b/>
      <w:sz w:val="32"/>
      <w:szCs w:val="20"/>
      <w:lang w:eastAsia="en-US"/>
    </w:rPr>
  </w:style>
  <w:style w:type="paragraph" w:styleId="BodyText">
    <w:name w:val="Body Text"/>
    <w:basedOn w:val="Normal"/>
    <w:link w:val="BodyTextChar"/>
    <w:rsid w:val="00CA645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A6456"/>
    <w:rPr>
      <w:rFonts w:ascii="Times New Roman" w:eastAsia="Times New Roman" w:hAnsi="Times New Roman" w:cs="Times New Roman"/>
      <w:sz w:val="24"/>
      <w:lang w:eastAsia="en-US"/>
    </w:rPr>
  </w:style>
  <w:style w:type="paragraph" w:styleId="ListBullet">
    <w:name w:val="List Bullet"/>
    <w:basedOn w:val="List"/>
    <w:rsid w:val="00CA6456"/>
    <w:pPr>
      <w:numPr>
        <w:numId w:val="12"/>
      </w:numPr>
      <w:tabs>
        <w:tab w:val="clear" w:pos="340"/>
      </w:tabs>
      <w:spacing w:before="40" w:after="40"/>
    </w:pPr>
  </w:style>
  <w:style w:type="character" w:customStyle="1" w:styleId="SpecialBold">
    <w:name w:val="Special Bold"/>
    <w:basedOn w:val="DefaultParagraphFont"/>
    <w:rsid w:val="00CA6456"/>
    <w:rPr>
      <w:b/>
      <w:spacing w:val="0"/>
    </w:rPr>
  </w:style>
  <w:style w:type="paragraph" w:styleId="ListBullet2">
    <w:name w:val="List Bullet 2"/>
    <w:basedOn w:val="List2"/>
    <w:rsid w:val="00CA6456"/>
    <w:pPr>
      <w:numPr>
        <w:numId w:val="13"/>
      </w:numPr>
      <w:tabs>
        <w:tab w:val="clear" w:pos="680"/>
      </w:tabs>
    </w:pPr>
  </w:style>
  <w:style w:type="paragraph" w:customStyle="1" w:styleId="SuperHeading">
    <w:name w:val="SuperHeading"/>
    <w:basedOn w:val="Normal"/>
    <w:rsid w:val="00CA6456"/>
    <w:pPr>
      <w:spacing w:before="240" w:after="120"/>
      <w:outlineLvl w:val="0"/>
    </w:pPr>
    <w:rPr>
      <w:rFonts w:ascii="Times New Roman" w:hAnsi="Times New Roman"/>
      <w:b/>
      <w:sz w:val="32"/>
    </w:rPr>
  </w:style>
  <w:style w:type="paragraph" w:customStyle="1" w:styleId="AllowPageBreak">
    <w:name w:val="AllowPageBreak"/>
    <w:rsid w:val="00CA645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A645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A645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A645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A645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A645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A645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A645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A6456"/>
    <w:rPr>
      <w:rFonts w:ascii="Courier New" w:eastAsia="Times New Roman" w:hAnsi="Courier New" w:cs="Times New Roman"/>
      <w:i/>
      <w:szCs w:val="20"/>
      <w:lang w:eastAsia="en-US"/>
    </w:rPr>
  </w:style>
  <w:style w:type="paragraph" w:customStyle="1" w:styleId="HeadingBase">
    <w:name w:val="Heading Base"/>
    <w:rsid w:val="00CA645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A6456"/>
    <w:pPr>
      <w:tabs>
        <w:tab w:val="right" w:leader="dot" w:pos="9072"/>
      </w:tabs>
      <w:ind w:left="567"/>
    </w:pPr>
    <w:rPr>
      <w:szCs w:val="22"/>
    </w:rPr>
  </w:style>
  <w:style w:type="paragraph" w:customStyle="1" w:styleId="TOCBase">
    <w:name w:val="TOC Base"/>
    <w:rsid w:val="00CA645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A6456"/>
    <w:pPr>
      <w:tabs>
        <w:tab w:val="right" w:leader="dot" w:pos="9072"/>
      </w:tabs>
      <w:spacing w:before="40" w:after="40"/>
      <w:ind w:left="284"/>
    </w:pPr>
    <w:rPr>
      <w:rFonts w:ascii="Times New Roman" w:hAnsi="Times New Roman"/>
    </w:rPr>
  </w:style>
  <w:style w:type="paragraph" w:styleId="TOC1">
    <w:name w:val="toc 1"/>
    <w:basedOn w:val="TOCBase"/>
    <w:next w:val="Normal"/>
    <w:rsid w:val="00CA645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A645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A6456"/>
    <w:rPr>
      <w:rFonts w:ascii="Times New Roman" w:eastAsia="Times New Roman" w:hAnsi="Times New Roman" w:cs="Times New Roman"/>
      <w:sz w:val="16"/>
      <w:lang w:eastAsia="en-US"/>
    </w:rPr>
  </w:style>
  <w:style w:type="paragraph" w:styleId="Title">
    <w:name w:val="Title"/>
    <w:basedOn w:val="HeadingBase"/>
    <w:link w:val="TitleChar"/>
    <w:qFormat/>
    <w:rsid w:val="00CA6456"/>
    <w:pPr>
      <w:spacing w:before="5040"/>
      <w:jc w:val="center"/>
    </w:pPr>
    <w:rPr>
      <w:sz w:val="48"/>
      <w:szCs w:val="72"/>
      <w:lang w:val="en-US"/>
    </w:rPr>
  </w:style>
  <w:style w:type="character" w:customStyle="1" w:styleId="TitleChar">
    <w:name w:val="Title Char"/>
    <w:basedOn w:val="DefaultParagraphFont"/>
    <w:link w:val="Title"/>
    <w:rsid w:val="00CA645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A6456"/>
    <w:pPr>
      <w:tabs>
        <w:tab w:val="left" w:pos="3600"/>
        <w:tab w:val="left" w:pos="3958"/>
      </w:tabs>
    </w:pPr>
  </w:style>
  <w:style w:type="paragraph" w:styleId="List">
    <w:name w:val="List"/>
    <w:basedOn w:val="BodyText"/>
    <w:next w:val="BodyText"/>
    <w:rsid w:val="00CA6456"/>
    <w:pPr>
      <w:tabs>
        <w:tab w:val="left" w:pos="340"/>
      </w:tabs>
      <w:spacing w:before="60" w:after="60"/>
      <w:ind w:left="340" w:hanging="340"/>
    </w:pPr>
  </w:style>
  <w:style w:type="paragraph" w:customStyle="1" w:styleId="Note">
    <w:name w:val="Note"/>
    <w:basedOn w:val="BodyText"/>
    <w:rsid w:val="00CA645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A6456"/>
    <w:pPr>
      <w:framePr w:wrap="auto" w:hAnchor="text" w:y="6049"/>
    </w:pPr>
    <w:rPr>
      <w:color w:val="000000"/>
      <w:sz w:val="40"/>
    </w:rPr>
  </w:style>
  <w:style w:type="paragraph" w:customStyle="1" w:styleId="TOCTitle">
    <w:name w:val="TOCTitle"/>
    <w:basedOn w:val="Heading1"/>
    <w:rsid w:val="00CA6456"/>
    <w:pPr>
      <w:spacing w:after="240"/>
      <w:jc w:val="center"/>
      <w:outlineLvl w:val="9"/>
    </w:pPr>
    <w:rPr>
      <w:caps/>
    </w:rPr>
  </w:style>
  <w:style w:type="paragraph" w:customStyle="1" w:styleId="Version">
    <w:name w:val="Version"/>
    <w:rsid w:val="00CA645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A6456"/>
    <w:pPr>
      <w:keepNext w:val="0"/>
      <w:tabs>
        <w:tab w:val="right" w:pos="4176"/>
      </w:tabs>
      <w:ind w:left="198" w:hanging="198"/>
    </w:pPr>
    <w:rPr>
      <w:rFonts w:ascii="Garamond" w:hAnsi="Garamond"/>
    </w:rPr>
  </w:style>
  <w:style w:type="paragraph" w:styleId="IndexHeading">
    <w:name w:val="index heading"/>
    <w:basedOn w:val="Normal"/>
    <w:next w:val="Index1"/>
    <w:semiHidden/>
    <w:rsid w:val="00CA6456"/>
    <w:pPr>
      <w:spacing w:before="120" w:after="120"/>
    </w:pPr>
    <w:rPr>
      <w:rFonts w:ascii="Arial" w:hAnsi="Arial"/>
      <w:b/>
      <w:color w:val="918585"/>
      <w:sz w:val="24"/>
    </w:rPr>
  </w:style>
  <w:style w:type="paragraph" w:styleId="Header">
    <w:name w:val="header"/>
    <w:basedOn w:val="Normal"/>
    <w:link w:val="HeaderChar"/>
    <w:rsid w:val="00CA645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A6456"/>
    <w:rPr>
      <w:rFonts w:ascii="Times New Roman" w:eastAsia="Times New Roman" w:hAnsi="Times New Roman" w:cs="Times New Roman"/>
      <w:sz w:val="16"/>
      <w:szCs w:val="20"/>
      <w:lang w:val="en-GB" w:eastAsia="en-US"/>
    </w:rPr>
  </w:style>
  <w:style w:type="paragraph" w:customStyle="1" w:styleId="Chapter">
    <w:name w:val="Chapter"/>
    <w:basedOn w:val="Normal"/>
    <w:rsid w:val="00CA6456"/>
    <w:pPr>
      <w:spacing w:before="240"/>
    </w:pPr>
    <w:rPr>
      <w:rFonts w:ascii="Times New Roman" w:hAnsi="Times New Roman"/>
      <w:smallCaps/>
      <w:spacing w:val="80"/>
      <w:sz w:val="28"/>
    </w:rPr>
  </w:style>
  <w:style w:type="paragraph" w:customStyle="1" w:styleId="InChapter">
    <w:name w:val="InChapter"/>
    <w:basedOn w:val="Heading3"/>
    <w:rsid w:val="00CA6456"/>
    <w:pPr>
      <w:spacing w:after="240"/>
      <w:outlineLvl w:val="9"/>
    </w:pPr>
    <w:rPr>
      <w:noProof/>
    </w:rPr>
  </w:style>
  <w:style w:type="paragraph" w:styleId="Index2">
    <w:name w:val="index 2"/>
    <w:basedOn w:val="Normal"/>
    <w:next w:val="Normal"/>
    <w:semiHidden/>
    <w:rsid w:val="00CA6456"/>
    <w:pPr>
      <w:tabs>
        <w:tab w:val="right" w:pos="4176"/>
      </w:tabs>
      <w:ind w:left="568" w:hanging="284"/>
    </w:pPr>
    <w:rPr>
      <w:rFonts w:ascii="Garamond" w:hAnsi="Garamond"/>
    </w:rPr>
  </w:style>
  <w:style w:type="paragraph" w:customStyle="1" w:styleId="Byline">
    <w:name w:val="Byline"/>
    <w:rsid w:val="00CA645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A6456"/>
    <w:pPr>
      <w:tabs>
        <w:tab w:val="clear" w:pos="3600"/>
        <w:tab w:val="clear" w:pos="3958"/>
      </w:tabs>
      <w:jc w:val="right"/>
    </w:pPr>
  </w:style>
  <w:style w:type="character" w:styleId="Emphasis">
    <w:name w:val="Emphasis"/>
    <w:basedOn w:val="DefaultParagraphFont"/>
    <w:qFormat/>
    <w:rsid w:val="00CA6456"/>
    <w:rPr>
      <w:i/>
    </w:rPr>
  </w:style>
  <w:style w:type="paragraph" w:styleId="Caption">
    <w:name w:val="caption"/>
    <w:basedOn w:val="BodyText"/>
    <w:next w:val="Normal"/>
    <w:qFormat/>
    <w:rsid w:val="00CA6456"/>
    <w:pPr>
      <w:framePr w:w="2268" w:hSpace="181" w:vSpace="181" w:wrap="around" w:vAnchor="text" w:hAnchor="page" w:x="1135" w:y="285" w:anchorLock="1"/>
    </w:pPr>
    <w:rPr>
      <w:i/>
    </w:rPr>
  </w:style>
  <w:style w:type="paragraph" w:customStyle="1" w:styleId="MiniTOCTitle">
    <w:name w:val="MiniTOCTitle"/>
    <w:basedOn w:val="Heading4"/>
    <w:rsid w:val="00CA6456"/>
    <w:pPr>
      <w:spacing w:before="240"/>
      <w:outlineLvl w:val="9"/>
    </w:pPr>
    <w:rPr>
      <w:noProof/>
      <w:sz w:val="24"/>
    </w:rPr>
  </w:style>
  <w:style w:type="paragraph" w:customStyle="1" w:styleId="MiniTOCItem">
    <w:name w:val="MiniTOCItem"/>
    <w:basedOn w:val="ListBullet"/>
    <w:rsid w:val="00CA6456"/>
    <w:pPr>
      <w:numPr>
        <w:numId w:val="0"/>
      </w:numPr>
      <w:tabs>
        <w:tab w:val="right" w:leader="dot" w:pos="6521"/>
      </w:tabs>
      <w:spacing w:before="0" w:after="0"/>
    </w:pPr>
  </w:style>
  <w:style w:type="paragraph" w:customStyle="1" w:styleId="TOFTitle">
    <w:name w:val="TOFTitle"/>
    <w:basedOn w:val="TOCTitle"/>
    <w:rsid w:val="00CA6456"/>
  </w:style>
  <w:style w:type="paragraph" w:styleId="TableofFigures">
    <w:name w:val="table of figures"/>
    <w:basedOn w:val="Normal"/>
    <w:next w:val="Normal"/>
    <w:semiHidden/>
    <w:rsid w:val="00CA6456"/>
    <w:pPr>
      <w:tabs>
        <w:tab w:val="right" w:leader="dot" w:pos="9072"/>
      </w:tabs>
      <w:ind w:left="970" w:hanging="403"/>
    </w:pPr>
    <w:rPr>
      <w:rFonts w:ascii="Times New Roman" w:hAnsi="Times New Roman"/>
      <w:b/>
    </w:rPr>
  </w:style>
  <w:style w:type="paragraph" w:styleId="ListNumber">
    <w:name w:val="List Number"/>
    <w:basedOn w:val="List"/>
    <w:rsid w:val="00CA6456"/>
    <w:pPr>
      <w:numPr>
        <w:numId w:val="15"/>
      </w:numPr>
      <w:tabs>
        <w:tab w:val="clear" w:pos="340"/>
      </w:tabs>
    </w:pPr>
  </w:style>
  <w:style w:type="character" w:customStyle="1" w:styleId="WingdingSymbols">
    <w:name w:val="Wingding Symbols"/>
    <w:rsid w:val="00CA6456"/>
    <w:rPr>
      <w:rFonts w:ascii="Wingdings" w:hAnsi="Wingdings"/>
    </w:rPr>
  </w:style>
  <w:style w:type="paragraph" w:customStyle="1" w:styleId="TableHeading">
    <w:name w:val="Table Heading"/>
    <w:basedOn w:val="HeadingBase"/>
    <w:rsid w:val="00CA6456"/>
    <w:pPr>
      <w:keepLines/>
      <w:pBdr>
        <w:bottom w:val="single" w:sz="6" w:space="1" w:color="918585"/>
      </w:pBdr>
      <w:spacing w:before="240"/>
    </w:pPr>
  </w:style>
  <w:style w:type="character" w:customStyle="1" w:styleId="HotSpot">
    <w:name w:val="HotSpot"/>
    <w:rsid w:val="00CA6456"/>
    <w:rPr>
      <w:color w:val="0033CC"/>
      <w:u w:val="none"/>
    </w:rPr>
  </w:style>
  <w:style w:type="paragraph" w:customStyle="1" w:styleId="BodyTextRight">
    <w:name w:val="Body Text Right"/>
    <w:basedOn w:val="BodyText"/>
    <w:rsid w:val="00CA6456"/>
    <w:pPr>
      <w:spacing w:before="0" w:after="0"/>
      <w:jc w:val="right"/>
    </w:pPr>
  </w:style>
  <w:style w:type="paragraph" w:styleId="Index3">
    <w:name w:val="index 3"/>
    <w:basedOn w:val="ListNumber2"/>
    <w:next w:val="Normal"/>
    <w:semiHidden/>
    <w:rsid w:val="00CA6456"/>
    <w:pPr>
      <w:numPr>
        <w:numId w:val="0"/>
      </w:numPr>
      <w:tabs>
        <w:tab w:val="right" w:leader="dot" w:pos="4176"/>
      </w:tabs>
    </w:pPr>
  </w:style>
  <w:style w:type="paragraph" w:styleId="ListNumber2">
    <w:name w:val="List Number 2"/>
    <w:basedOn w:val="List2"/>
    <w:rsid w:val="00CA6456"/>
    <w:pPr>
      <w:numPr>
        <w:numId w:val="10"/>
      </w:numPr>
      <w:tabs>
        <w:tab w:val="clear" w:pos="1060"/>
      </w:tabs>
    </w:pPr>
  </w:style>
  <w:style w:type="paragraph" w:customStyle="1" w:styleId="MarginNote">
    <w:name w:val="Margin Note"/>
    <w:basedOn w:val="BodyText"/>
    <w:rsid w:val="00CA645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A645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A645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A6456"/>
    <w:rPr>
      <w:sz w:val="32"/>
    </w:rPr>
  </w:style>
  <w:style w:type="paragraph" w:customStyle="1" w:styleId="HeadingProcedure">
    <w:name w:val="Heading Procedure"/>
    <w:basedOn w:val="HeadingBase"/>
    <w:next w:val="Normal"/>
    <w:rsid w:val="00CA6456"/>
    <w:pPr>
      <w:tabs>
        <w:tab w:val="left" w:pos="0"/>
      </w:tabs>
      <w:spacing w:before="120" w:after="60"/>
    </w:pPr>
    <w:rPr>
      <w:i/>
      <w:color w:val="918585"/>
      <w:sz w:val="22"/>
    </w:rPr>
  </w:style>
  <w:style w:type="paragraph" w:customStyle="1" w:styleId="TableBodyText">
    <w:name w:val="Table Body Text"/>
    <w:basedOn w:val="BodyText"/>
    <w:rsid w:val="00CA6456"/>
    <w:pPr>
      <w:spacing w:before="60" w:after="60"/>
    </w:pPr>
  </w:style>
  <w:style w:type="paragraph" w:styleId="ListContinue">
    <w:name w:val="List Continue"/>
    <w:basedOn w:val="List"/>
    <w:rsid w:val="00CA6456"/>
    <w:pPr>
      <w:ind w:firstLine="0"/>
    </w:pPr>
  </w:style>
  <w:style w:type="paragraph" w:customStyle="1" w:styleId="ListNote">
    <w:name w:val="List Note"/>
    <w:basedOn w:val="List"/>
    <w:rsid w:val="00CA6456"/>
    <w:pPr>
      <w:pBdr>
        <w:top w:val="single" w:sz="6" w:space="2" w:color="918585"/>
        <w:bottom w:val="single" w:sz="6" w:space="2" w:color="918585"/>
      </w:pBdr>
      <w:tabs>
        <w:tab w:val="left" w:pos="1021"/>
      </w:tabs>
      <w:ind w:firstLine="0"/>
    </w:pPr>
  </w:style>
  <w:style w:type="paragraph" w:customStyle="1" w:styleId="Warning">
    <w:name w:val="Warning"/>
    <w:basedOn w:val="BodyText"/>
    <w:rsid w:val="00CA6456"/>
    <w:pPr>
      <w:shd w:val="clear" w:color="auto" w:fill="D9D9D9"/>
      <w:tabs>
        <w:tab w:val="left" w:pos="992"/>
      </w:tabs>
      <w:ind w:left="119" w:right="119"/>
    </w:pPr>
    <w:rPr>
      <w:sz w:val="20"/>
    </w:rPr>
  </w:style>
  <w:style w:type="paragraph" w:customStyle="1" w:styleId="MarginIcons">
    <w:name w:val="Margin Icons"/>
    <w:basedOn w:val="BodyText"/>
    <w:rsid w:val="00CA645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A6456"/>
    <w:rPr>
      <w:rFonts w:ascii="Courier New" w:hAnsi="Courier New"/>
    </w:rPr>
  </w:style>
  <w:style w:type="paragraph" w:customStyle="1" w:styleId="NoteBullet">
    <w:name w:val="Note Bullet"/>
    <w:basedOn w:val="Note"/>
    <w:rsid w:val="00CA6456"/>
    <w:pPr>
      <w:tabs>
        <w:tab w:val="clear" w:pos="680"/>
      </w:tabs>
      <w:spacing w:before="60" w:after="60"/>
    </w:pPr>
  </w:style>
  <w:style w:type="paragraph" w:customStyle="1" w:styleId="SubHeading2">
    <w:name w:val="SubHeading2"/>
    <w:basedOn w:val="HeadingBase"/>
    <w:rsid w:val="00CA6456"/>
    <w:pPr>
      <w:spacing w:before="240" w:after="60"/>
    </w:pPr>
    <w:rPr>
      <w:sz w:val="20"/>
    </w:rPr>
  </w:style>
  <w:style w:type="paragraph" w:customStyle="1" w:styleId="SubHeading1">
    <w:name w:val="SubHeading1"/>
    <w:basedOn w:val="HeadingBase"/>
    <w:rsid w:val="00CA6456"/>
    <w:pPr>
      <w:spacing w:before="240" w:after="60"/>
    </w:pPr>
    <w:rPr>
      <w:color w:val="918585"/>
      <w:sz w:val="22"/>
    </w:rPr>
  </w:style>
  <w:style w:type="paragraph" w:customStyle="1" w:styleId="SideHeading">
    <w:name w:val="Side Heading"/>
    <w:basedOn w:val="HeadingBase"/>
    <w:rsid w:val="00CA645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A6456"/>
    <w:pPr>
      <w:tabs>
        <w:tab w:val="num" w:pos="360"/>
      </w:tabs>
    </w:pPr>
  </w:style>
  <w:style w:type="paragraph" w:styleId="PlainText">
    <w:name w:val="Plain Text"/>
    <w:basedOn w:val="Normal"/>
    <w:link w:val="PlainTextChar"/>
    <w:rsid w:val="00CA6456"/>
    <w:rPr>
      <w:sz w:val="20"/>
    </w:rPr>
  </w:style>
  <w:style w:type="character" w:customStyle="1" w:styleId="PlainTextChar">
    <w:name w:val="Plain Text Char"/>
    <w:basedOn w:val="DefaultParagraphFont"/>
    <w:link w:val="PlainText"/>
    <w:rsid w:val="00CA6456"/>
    <w:rPr>
      <w:rFonts w:ascii="Courier New" w:eastAsia="Times New Roman" w:hAnsi="Courier New" w:cs="Times New Roman"/>
      <w:sz w:val="20"/>
      <w:szCs w:val="20"/>
      <w:lang w:eastAsia="en-US"/>
    </w:rPr>
  </w:style>
  <w:style w:type="character" w:customStyle="1" w:styleId="MenuOption">
    <w:name w:val="Menu Option"/>
    <w:basedOn w:val="DefaultParagraphFont"/>
    <w:rsid w:val="00CA6456"/>
    <w:rPr>
      <w:b/>
      <w:smallCaps/>
    </w:rPr>
  </w:style>
  <w:style w:type="paragraph" w:customStyle="1" w:styleId="TableListNumber">
    <w:name w:val="Table List Number"/>
    <w:basedOn w:val="ListNumber"/>
    <w:rsid w:val="00CA6456"/>
    <w:pPr>
      <w:numPr>
        <w:numId w:val="0"/>
      </w:numPr>
    </w:pPr>
  </w:style>
  <w:style w:type="paragraph" w:styleId="TOC4">
    <w:name w:val="toc 4"/>
    <w:basedOn w:val="TOCBase"/>
    <w:next w:val="Normal"/>
    <w:semiHidden/>
    <w:rsid w:val="00CA6456"/>
    <w:pPr>
      <w:tabs>
        <w:tab w:val="right" w:leader="dot" w:pos="9071"/>
      </w:tabs>
      <w:ind w:left="1701"/>
    </w:pPr>
  </w:style>
  <w:style w:type="paragraph" w:customStyle="1" w:styleId="ListAlpha">
    <w:name w:val="List Alpha"/>
    <w:basedOn w:val="List"/>
    <w:rsid w:val="00CA6456"/>
    <w:pPr>
      <w:numPr>
        <w:numId w:val="9"/>
      </w:numPr>
    </w:pPr>
  </w:style>
  <w:style w:type="paragraph" w:customStyle="1" w:styleId="ListAlpha2">
    <w:name w:val="List Alpha 2"/>
    <w:basedOn w:val="List2"/>
    <w:rsid w:val="00CA6456"/>
    <w:pPr>
      <w:numPr>
        <w:numId w:val="8"/>
      </w:numPr>
    </w:pPr>
  </w:style>
  <w:style w:type="paragraph" w:styleId="List2">
    <w:name w:val="List 2"/>
    <w:basedOn w:val="BodyText"/>
    <w:rsid w:val="00CA6456"/>
    <w:pPr>
      <w:tabs>
        <w:tab w:val="left" w:pos="680"/>
      </w:tabs>
      <w:spacing w:before="60" w:after="60"/>
      <w:ind w:left="680" w:hanging="340"/>
    </w:pPr>
  </w:style>
  <w:style w:type="paragraph" w:styleId="List3">
    <w:name w:val="List 3"/>
    <w:basedOn w:val="BodyText"/>
    <w:rsid w:val="00CA6456"/>
    <w:pPr>
      <w:tabs>
        <w:tab w:val="left" w:pos="1021"/>
      </w:tabs>
      <w:spacing w:before="60" w:after="60"/>
      <w:ind w:left="1020" w:hanging="340"/>
    </w:pPr>
  </w:style>
  <w:style w:type="paragraph" w:styleId="List4">
    <w:name w:val="List 4"/>
    <w:basedOn w:val="BodyText"/>
    <w:rsid w:val="00CA6456"/>
    <w:pPr>
      <w:tabs>
        <w:tab w:val="left" w:pos="1361"/>
      </w:tabs>
      <w:spacing w:before="60" w:after="60"/>
      <w:ind w:left="1361" w:hanging="340"/>
    </w:pPr>
  </w:style>
  <w:style w:type="paragraph" w:styleId="List5">
    <w:name w:val="List 5"/>
    <w:basedOn w:val="BodyText"/>
    <w:rsid w:val="00CA6456"/>
    <w:pPr>
      <w:tabs>
        <w:tab w:val="left" w:pos="1701"/>
      </w:tabs>
      <w:spacing w:before="60" w:after="60"/>
      <w:ind w:left="1701" w:hanging="340"/>
    </w:pPr>
  </w:style>
  <w:style w:type="paragraph" w:styleId="ListBullet3">
    <w:name w:val="List Bullet 3"/>
    <w:basedOn w:val="List3"/>
    <w:rsid w:val="00CA6456"/>
    <w:pPr>
      <w:numPr>
        <w:numId w:val="14"/>
      </w:numPr>
      <w:tabs>
        <w:tab w:val="clear" w:pos="1021"/>
      </w:tabs>
      <w:ind w:left="1037" w:hanging="357"/>
    </w:pPr>
  </w:style>
  <w:style w:type="paragraph" w:styleId="ListBullet4">
    <w:name w:val="List Bullet 4"/>
    <w:basedOn w:val="List4"/>
    <w:rsid w:val="00CA6456"/>
    <w:pPr>
      <w:numPr>
        <w:numId w:val="3"/>
      </w:numPr>
      <w:tabs>
        <w:tab w:val="clear" w:pos="1361"/>
      </w:tabs>
    </w:pPr>
  </w:style>
  <w:style w:type="paragraph" w:styleId="ListBullet5">
    <w:name w:val="List Bullet 5"/>
    <w:basedOn w:val="List5"/>
    <w:rsid w:val="00CA6456"/>
    <w:pPr>
      <w:numPr>
        <w:numId w:val="4"/>
      </w:numPr>
    </w:pPr>
  </w:style>
  <w:style w:type="paragraph" w:styleId="ListContinue2">
    <w:name w:val="List Continue 2"/>
    <w:basedOn w:val="List2"/>
    <w:rsid w:val="00CA6456"/>
    <w:pPr>
      <w:ind w:firstLine="0"/>
    </w:pPr>
  </w:style>
  <w:style w:type="paragraph" w:styleId="ListContinue3">
    <w:name w:val="List Continue 3"/>
    <w:basedOn w:val="List3"/>
    <w:rsid w:val="00CA6456"/>
    <w:pPr>
      <w:ind w:left="1021" w:firstLine="0"/>
    </w:pPr>
  </w:style>
  <w:style w:type="paragraph" w:styleId="ListContinue4">
    <w:name w:val="List Continue 4"/>
    <w:basedOn w:val="List4"/>
    <w:rsid w:val="00CA6456"/>
    <w:pPr>
      <w:ind w:firstLine="0"/>
    </w:pPr>
  </w:style>
  <w:style w:type="paragraph" w:styleId="ListContinue5">
    <w:name w:val="List Continue 5"/>
    <w:basedOn w:val="List5"/>
    <w:rsid w:val="00CA6456"/>
    <w:pPr>
      <w:ind w:firstLine="0"/>
    </w:pPr>
  </w:style>
  <w:style w:type="paragraph" w:styleId="ListNumber3">
    <w:name w:val="List Number 3"/>
    <w:basedOn w:val="List3"/>
    <w:rsid w:val="00CA6456"/>
    <w:pPr>
      <w:numPr>
        <w:numId w:val="5"/>
      </w:numPr>
    </w:pPr>
  </w:style>
  <w:style w:type="paragraph" w:styleId="ListNumber4">
    <w:name w:val="List Number 4"/>
    <w:basedOn w:val="List4"/>
    <w:rsid w:val="00CA6456"/>
    <w:pPr>
      <w:numPr>
        <w:numId w:val="6"/>
      </w:numPr>
    </w:pPr>
  </w:style>
  <w:style w:type="paragraph" w:styleId="ListNumber5">
    <w:name w:val="List Number 5"/>
    <w:basedOn w:val="List5"/>
    <w:rsid w:val="00CA6456"/>
    <w:pPr>
      <w:numPr>
        <w:numId w:val="7"/>
      </w:numPr>
    </w:pPr>
  </w:style>
  <w:style w:type="paragraph" w:styleId="BlockText">
    <w:name w:val="Block Text"/>
    <w:basedOn w:val="Normal"/>
    <w:rsid w:val="00CA6456"/>
    <w:pPr>
      <w:spacing w:after="120"/>
      <w:ind w:left="1440" w:right="1440"/>
    </w:pPr>
  </w:style>
  <w:style w:type="character" w:customStyle="1" w:styleId="Subscript">
    <w:name w:val="Subscript"/>
    <w:basedOn w:val="DefaultParagraphFont"/>
    <w:rsid w:val="00CA6456"/>
    <w:rPr>
      <w:sz w:val="16"/>
      <w:vertAlign w:val="subscript"/>
    </w:rPr>
  </w:style>
  <w:style w:type="character" w:customStyle="1" w:styleId="Superscript">
    <w:name w:val="Superscript"/>
    <w:basedOn w:val="DefaultParagraphFont"/>
    <w:rsid w:val="00CA6456"/>
    <w:rPr>
      <w:sz w:val="16"/>
      <w:vertAlign w:val="superscript"/>
    </w:rPr>
  </w:style>
  <w:style w:type="character" w:customStyle="1" w:styleId="Symbols">
    <w:name w:val="Symbols"/>
    <w:basedOn w:val="DefaultParagraphFont"/>
    <w:rsid w:val="00CA6456"/>
    <w:rPr>
      <w:rFonts w:ascii="Symbol" w:hAnsi="Symbol"/>
    </w:rPr>
  </w:style>
  <w:style w:type="character" w:customStyle="1" w:styleId="MenuOptions">
    <w:name w:val="Menu Options"/>
    <w:basedOn w:val="DefaultParagraphFont"/>
    <w:rsid w:val="00CA6456"/>
    <w:rPr>
      <w:rFonts w:ascii="Arial Narrow" w:hAnsi="Arial Narrow"/>
      <w:smallCaps/>
    </w:rPr>
  </w:style>
  <w:style w:type="character" w:customStyle="1" w:styleId="Buttons">
    <w:name w:val="Buttons"/>
    <w:basedOn w:val="DefaultParagraphFont"/>
    <w:rsid w:val="00CA6456"/>
    <w:rPr>
      <w:b/>
    </w:rPr>
  </w:style>
  <w:style w:type="character" w:customStyle="1" w:styleId="Underlined">
    <w:name w:val="Underlined"/>
    <w:basedOn w:val="DefaultParagraphFont"/>
    <w:rsid w:val="00CA6456"/>
    <w:rPr>
      <w:u w:val="single"/>
    </w:rPr>
  </w:style>
  <w:style w:type="paragraph" w:customStyle="1" w:styleId="TableBodyTextRight">
    <w:name w:val="Table Body Text Right"/>
    <w:basedOn w:val="TableBodyText"/>
    <w:rsid w:val="00CA6456"/>
    <w:pPr>
      <w:widowControl w:val="0"/>
      <w:autoSpaceDE w:val="0"/>
      <w:autoSpaceDN w:val="0"/>
      <w:adjustRightInd w:val="0"/>
      <w:jc w:val="right"/>
    </w:pPr>
    <w:rPr>
      <w:rFonts w:cs="Arial"/>
      <w:szCs w:val="18"/>
    </w:rPr>
  </w:style>
  <w:style w:type="paragraph" w:customStyle="1" w:styleId="CopyrightText">
    <w:name w:val="Copyright Text"/>
    <w:basedOn w:val="BodyText"/>
    <w:rsid w:val="00CA6456"/>
    <w:rPr>
      <w:sz w:val="18"/>
    </w:rPr>
  </w:style>
  <w:style w:type="paragraph" w:customStyle="1" w:styleId="BodySmallRight">
    <w:name w:val="Body Small Right"/>
    <w:basedOn w:val="BodyTextRight"/>
    <w:rsid w:val="00CA6456"/>
    <w:rPr>
      <w:sz w:val="18"/>
      <w:szCs w:val="18"/>
    </w:rPr>
  </w:style>
  <w:style w:type="paragraph" w:customStyle="1" w:styleId="MarginEdition">
    <w:name w:val="Margin Edition"/>
    <w:basedOn w:val="MarginNote"/>
    <w:rsid w:val="00CA6456"/>
    <w:pPr>
      <w:spacing w:before="0" w:after="0"/>
    </w:pPr>
    <w:rPr>
      <w:rFonts w:ascii="Times New Roman" w:hAnsi="Times New Roman"/>
      <w:color w:val="999999"/>
    </w:rPr>
  </w:style>
  <w:style w:type="paragraph" w:customStyle="1" w:styleId="Spacer">
    <w:name w:val="Spacer"/>
    <w:basedOn w:val="Normal"/>
    <w:rsid w:val="00CA6456"/>
    <w:rPr>
      <w:sz w:val="2"/>
      <w:szCs w:val="2"/>
    </w:rPr>
  </w:style>
  <w:style w:type="character" w:customStyle="1" w:styleId="Small">
    <w:name w:val="Small"/>
    <w:basedOn w:val="DefaultParagraphFont"/>
    <w:rsid w:val="00CA6456"/>
    <w:rPr>
      <w:sz w:val="16"/>
    </w:rPr>
  </w:style>
  <w:style w:type="paragraph" w:customStyle="1" w:styleId="WideTable">
    <w:name w:val="Wide Table"/>
    <w:basedOn w:val="Normal"/>
    <w:rsid w:val="00CA6456"/>
    <w:pPr>
      <w:ind w:left="-1418"/>
    </w:pPr>
    <w:rPr>
      <w:sz w:val="2"/>
      <w:szCs w:val="2"/>
    </w:rPr>
  </w:style>
  <w:style w:type="character" w:styleId="PageNumber">
    <w:name w:val="page number"/>
    <w:basedOn w:val="DefaultParagraphFont"/>
    <w:rsid w:val="00CA6456"/>
  </w:style>
  <w:style w:type="paragraph" w:styleId="Quote">
    <w:name w:val="Quote"/>
    <w:basedOn w:val="Heading1"/>
    <w:link w:val="QuoteChar"/>
    <w:qFormat/>
    <w:rsid w:val="00CA6456"/>
    <w:rPr>
      <w:b w:val="0"/>
      <w:sz w:val="72"/>
      <w:szCs w:val="72"/>
      <w:lang w:val="en-NZ"/>
    </w:rPr>
  </w:style>
  <w:style w:type="character" w:customStyle="1" w:styleId="QuoteChar">
    <w:name w:val="Quote Char"/>
    <w:basedOn w:val="DefaultParagraphFont"/>
    <w:link w:val="Quote"/>
    <w:rsid w:val="00CA645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A6456"/>
    <w:pPr>
      <w:pageBreakBefore/>
    </w:pPr>
  </w:style>
  <w:style w:type="paragraph" w:customStyle="1" w:styleId="Border">
    <w:name w:val="Border"/>
    <w:basedOn w:val="Normal"/>
    <w:qFormat/>
    <w:rsid w:val="00CA645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A6456"/>
    <w:rPr>
      <w:b/>
      <w:bCs/>
      <w:i/>
      <w:iCs/>
      <w:color w:val="auto"/>
    </w:rPr>
  </w:style>
  <w:style w:type="paragraph" w:styleId="IntenseQuote">
    <w:name w:val="Intense Quote"/>
    <w:basedOn w:val="Normal"/>
    <w:next w:val="Normal"/>
    <w:link w:val="IntenseQuoteChar"/>
    <w:uiPriority w:val="30"/>
    <w:qFormat/>
    <w:rsid w:val="00CA645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A645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A6456"/>
    <w:rPr>
      <w:smallCaps/>
      <w:color w:val="auto"/>
      <w:u w:val="single"/>
    </w:rPr>
  </w:style>
  <w:style w:type="character" w:styleId="IntenseReference">
    <w:name w:val="Intense Reference"/>
    <w:basedOn w:val="DefaultParagraphFont"/>
    <w:uiPriority w:val="32"/>
    <w:qFormat/>
    <w:rsid w:val="00CA6456"/>
    <w:rPr>
      <w:b/>
      <w:bCs/>
      <w:smallCaps/>
      <w:color w:val="auto"/>
      <w:spacing w:val="5"/>
      <w:u w:val="single"/>
    </w:rPr>
  </w:style>
  <w:style w:type="paragraph" w:customStyle="1" w:styleId="2ColumnHeading">
    <w:name w:val="2Column Heading"/>
    <w:basedOn w:val="BodyText"/>
    <w:qFormat/>
    <w:rsid w:val="00CA6456"/>
    <w:pPr>
      <w:spacing w:after="60"/>
      <w:ind w:left="-2268"/>
    </w:pPr>
    <w:rPr>
      <w:b/>
    </w:rPr>
  </w:style>
  <w:style w:type="paragraph" w:customStyle="1" w:styleId="Heading1TOC">
    <w:name w:val="Heading1 TOC"/>
    <w:basedOn w:val="Normal"/>
    <w:qFormat/>
    <w:rsid w:val="00CA6456"/>
    <w:pPr>
      <w:spacing w:before="240" w:after="120"/>
    </w:pPr>
    <w:rPr>
      <w:rFonts w:ascii="Times New Roman" w:hAnsi="Times New Roman"/>
      <w:b/>
      <w:sz w:val="32"/>
    </w:rPr>
  </w:style>
  <w:style w:type="paragraph" w:customStyle="1" w:styleId="Heading2TOC">
    <w:name w:val="Heading2 TOC"/>
    <w:basedOn w:val="Normal"/>
    <w:qFormat/>
    <w:rsid w:val="00CA6456"/>
    <w:pPr>
      <w:spacing w:before="240" w:after="60"/>
    </w:pPr>
    <w:rPr>
      <w:rFonts w:ascii="Times New Roman" w:hAnsi="Times New Roman"/>
      <w:b/>
      <w:sz w:val="28"/>
    </w:rPr>
  </w:style>
  <w:style w:type="character" w:customStyle="1" w:styleId="Underline">
    <w:name w:val="Underline"/>
    <w:basedOn w:val="DefaultParagraphFont"/>
    <w:qFormat/>
    <w:rsid w:val="00CA6456"/>
    <w:rPr>
      <w:u w:val="single"/>
    </w:rPr>
  </w:style>
  <w:style w:type="character" w:customStyle="1" w:styleId="BoldandItalics">
    <w:name w:val="Bold and Italics"/>
    <w:qFormat/>
    <w:rsid w:val="00CA6456"/>
    <w:rPr>
      <w:b/>
      <w:i/>
      <w:u w:val="none"/>
    </w:rPr>
  </w:style>
  <w:style w:type="paragraph" w:styleId="BalloonText">
    <w:name w:val="Balloon Text"/>
    <w:basedOn w:val="Normal"/>
    <w:link w:val="BalloonTextChar"/>
    <w:rsid w:val="00CA6456"/>
    <w:rPr>
      <w:rFonts w:ascii="Tahoma" w:hAnsi="Tahoma" w:cs="Tahoma"/>
      <w:sz w:val="16"/>
      <w:szCs w:val="16"/>
    </w:rPr>
  </w:style>
  <w:style w:type="character" w:customStyle="1" w:styleId="BalloonTextChar">
    <w:name w:val="Balloon Text Char"/>
    <w:basedOn w:val="DefaultParagraphFont"/>
    <w:link w:val="BalloonText"/>
    <w:rsid w:val="00CA645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A645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A645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A6456"/>
    <w:rPr>
      <w:b/>
      <w:color w:val="660033"/>
      <w:spacing w:val="0"/>
    </w:rPr>
  </w:style>
  <w:style w:type="paragraph" w:customStyle="1" w:styleId="Nameditemlist">
    <w:name w:val="Named item list"/>
    <w:basedOn w:val="BodyText"/>
    <w:qFormat/>
    <w:rsid w:val="00CA6456"/>
    <w:pPr>
      <w:tabs>
        <w:tab w:val="left" w:pos="2835"/>
      </w:tabs>
      <w:ind w:left="2835" w:hanging="2835"/>
    </w:pPr>
  </w:style>
  <w:style w:type="paragraph" w:customStyle="1" w:styleId="BodyTextnopadding">
    <w:name w:val="Body Text no padding"/>
    <w:basedOn w:val="BodyText"/>
    <w:qFormat/>
    <w:rsid w:val="00CA6456"/>
    <w:pPr>
      <w:spacing w:before="0" w:after="0"/>
    </w:pPr>
  </w:style>
  <w:style w:type="paragraph" w:customStyle="1" w:styleId="BodyTextBold">
    <w:name w:val="Body Text Bold"/>
    <w:basedOn w:val="BodyText"/>
    <w:qFormat/>
    <w:rsid w:val="00CA6456"/>
    <w:rPr>
      <w:b/>
    </w:rPr>
  </w:style>
  <w:style w:type="character" w:styleId="Hyperlink">
    <w:name w:val="Hyperlink"/>
    <w:basedOn w:val="DefaultParagraphFont"/>
    <w:uiPriority w:val="99"/>
    <w:unhideWhenUsed/>
    <w:rsid w:val="00C65B1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1104</Words>
  <Characters>6591</Characters>
  <Application>Microsoft Office Word</Application>
  <DocSecurity>0</DocSecurity>
  <Lines>286</Lines>
  <Paragraphs>178</Paragraphs>
  <ScaleCrop>false</ScaleCrop>
  <Company>Author-it Software Corporation Ltd.</Company>
  <LinksUpToDate>false</LinksUpToDate>
  <CharactersWithSpaces>7517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PMBTECH402 Set advanced or complex dies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2023-02-03T05:53:00Z</dcterms:created>
  <dcterms:modified xsi:type="dcterms:W3CDTF">2023-02-03T05:53:00Z</dcterms:modified>
</cp:coreProperties>
</file>