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B79" w:rsidP="00172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PMBTECH402E Set advanced or complex injection moulding dies</w:t>
      </w:r>
      <w:r>
        <w:fldChar w:fldCharType="end"/>
      </w:r>
    </w:p>
    <w:p w:rsidR="00172B79" w:rsidP="00172B79">
      <w:pPr>
        <w:pStyle w:val="Version"/>
        <w:sectPr w:rsidSect="001778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8C5" w:rsidP="001778C5">
      <w:pPr>
        <w:pStyle w:val="SuperHeading"/>
      </w:pPr>
      <w:r w:rsidRPr="001778C5">
        <w:t>PMBTECH402E Set advanced or complex injection moulding dies</w:t>
      </w:r>
    </w:p>
    <w:p w:rsidR="00000000" w:rsidRPr="001778C5" w:rsidP="001778C5">
      <w:pPr>
        <w:pStyle w:val="Heading1"/>
      </w:pPr>
      <w:bookmarkStart w:id="1" w:name="O_1115806"/>
      <w:bookmarkEnd w:id="1"/>
      <w:r w:rsidRPr="001778C5">
        <w:t>Modification History</w:t>
      </w:r>
    </w:p>
    <w:p w:rsidR="00000000" w:rsidRPr="001778C5" w:rsidP="00172B79">
      <w:pPr>
        <w:pStyle w:val="BodyText"/>
      </w:pPr>
      <w:r w:rsidRPr="001778C5">
        <w:t>Release 1. Unit code and title changed. Application changed. Elements and Performance Criteria changed. Range of Conditions removed. Assessment Requirements changed. Supersedes and is equivalent to PMBTECH402 Set adva</w:t>
      </w:r>
      <w:r w:rsidRPr="001778C5">
        <w:t>nced or complex dies.</w:t>
      </w:r>
    </w:p>
    <w:p w:rsidR="00000000" w:rsidRPr="001778C5" w:rsidP="001778C5">
      <w:pPr>
        <w:pStyle w:val="Heading1"/>
      </w:pPr>
      <w:bookmarkStart w:id="2" w:name="O_1115807"/>
      <w:bookmarkEnd w:id="2"/>
      <w:r w:rsidRPr="001778C5">
        <w:t>Application</w:t>
      </w:r>
    </w:p>
    <w:p w:rsidR="00000000" w:rsidRPr="001778C5" w:rsidP="00172B79">
      <w:pPr>
        <w:pStyle w:val="BodyText"/>
      </w:pPr>
      <w:r w:rsidRPr="001778C5">
        <w:t>This unit covers the skills and knowledge required to remove, refit and set advanced or complex dies used in injection moulding.</w:t>
      </w:r>
    </w:p>
    <w:p w:rsidR="00000000" w:rsidRPr="001778C5" w:rsidP="00172B79">
      <w:pPr>
        <w:pStyle w:val="BodyText"/>
      </w:pPr>
      <w:r w:rsidRPr="001778C5">
        <w:t>This unit applies to an experienced technician working alone or as part of</w:t>
      </w:r>
      <w:r w:rsidRPr="001778C5">
        <w:t xml:space="preserve"> a team.</w:t>
      </w:r>
    </w:p>
    <w:p w:rsidR="00000000" w:rsidRPr="001778C5" w:rsidP="00172B79">
      <w:pPr>
        <w:pStyle w:val="BodyText"/>
      </w:pPr>
      <w:r w:rsidRPr="001778C5">
        <w:t>The unit principally refers to the advanced skills and knowledge needed for setting the class of large, complex or special-purpose production dies.</w:t>
      </w:r>
    </w:p>
    <w:p w:rsidR="00000000" w:rsidRPr="001778C5" w:rsidP="00172B79">
      <w:pPr>
        <w:pStyle w:val="BodyText"/>
      </w:pPr>
      <w:r w:rsidRPr="001778C5">
        <w:t xml:space="preserve">No licensing or certification requirements exist at the time of publication. Relevant legislation, </w:t>
      </w:r>
      <w:r w:rsidRPr="001778C5">
        <w:t>industry standards and codes of practice within Australia must be applied.</w:t>
      </w:r>
    </w:p>
    <w:p w:rsidR="00000000" w:rsidRPr="001778C5" w:rsidP="001778C5">
      <w:pPr>
        <w:pStyle w:val="Heading1"/>
      </w:pPr>
      <w:bookmarkStart w:id="3" w:name="O_1115808"/>
      <w:bookmarkEnd w:id="3"/>
      <w:r w:rsidRPr="001778C5">
        <w:t>Pre-requisite Unit</w:t>
      </w:r>
    </w:p>
    <w:p w:rsidR="00000000" w:rsidRPr="001778C5" w:rsidP="00172B79">
      <w:pPr>
        <w:pStyle w:val="BodyText"/>
      </w:pPr>
      <w:r w:rsidRPr="001778C5">
        <w:t>Nil.</w:t>
      </w:r>
    </w:p>
    <w:p w:rsidR="00000000" w:rsidRPr="001778C5" w:rsidP="001778C5">
      <w:pPr>
        <w:pStyle w:val="Heading1"/>
      </w:pPr>
      <w:bookmarkStart w:id="4" w:name="O_1115809"/>
      <w:bookmarkEnd w:id="4"/>
      <w:r w:rsidRPr="001778C5">
        <w:t>Competency Field</w:t>
      </w:r>
    </w:p>
    <w:p w:rsidR="00000000" w:rsidRPr="001778C5" w:rsidP="00172B79">
      <w:pPr>
        <w:pStyle w:val="BodyText"/>
      </w:pPr>
      <w:r w:rsidRPr="001778C5">
        <w:t>Technical – Injection Moulding</w:t>
      </w:r>
    </w:p>
    <w:p w:rsidR="00000000" w:rsidRPr="001778C5" w:rsidP="001778C5">
      <w:pPr>
        <w:pStyle w:val="Heading1"/>
      </w:pPr>
      <w:bookmarkStart w:id="5" w:name="O_1115811"/>
      <w:bookmarkEnd w:id="5"/>
      <w:r w:rsidRPr="001778C5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778C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C5" w:rsidP="001778C5">
            <w:pPr>
              <w:pStyle w:val="BodyText"/>
            </w:pPr>
            <w:r w:rsidRPr="001778C5">
              <w:rPr>
                <w:rStyle w:val="SpecialBold"/>
              </w:rPr>
              <w:t>Elements</w:t>
            </w:r>
          </w:p>
          <w:p w:rsidR="00000000" w:rsidRPr="001778C5" w:rsidP="001778C5">
            <w:pPr>
              <w:pStyle w:val="BodyText"/>
            </w:pPr>
            <w:r w:rsidRPr="001778C5">
              <w:t xml:space="preserve">Elements </w:t>
            </w:r>
            <w:r w:rsidRPr="001778C5">
              <w:t>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C5" w:rsidP="001778C5">
            <w:pPr>
              <w:pStyle w:val="BodyText"/>
            </w:pPr>
            <w:r w:rsidRPr="001778C5">
              <w:rPr>
                <w:rStyle w:val="SpecialBold"/>
              </w:rPr>
              <w:t>Performance Criteria</w:t>
            </w:r>
          </w:p>
          <w:p w:rsidR="00000000" w:rsidP="001778C5">
            <w:pPr>
              <w:pStyle w:val="BodyText"/>
              <w:rPr>
                <w:lang w:val="en-NZ"/>
              </w:rPr>
            </w:pPr>
            <w:r w:rsidRPr="001778C5">
              <w:t>Performance criteria describe the performance needed to demonstrate achievement of the element.</w:t>
            </w:r>
          </w:p>
        </w:tc>
      </w:tr>
      <w:tr w:rsidTr="001778C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C5">
            <w:pPr>
              <w:pStyle w:val="BodyText"/>
              <w:rPr>
                <w:lang w:val="en-NZ"/>
              </w:rPr>
            </w:pPr>
            <w:r w:rsidRPr="001778C5">
              <w:t>1. Prepare to change advanced or complex dies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C5" w:rsidP="001778C5">
            <w:pPr>
              <w:pStyle w:val="BodyText"/>
            </w:pPr>
            <w:r w:rsidRPr="001778C5">
              <w:t>1.1 Determine when changeover will be required, and plan requirements for die change</w:t>
            </w:r>
          </w:p>
          <w:p w:rsidR="00000000" w:rsidRPr="001778C5" w:rsidP="001778C5">
            <w:pPr>
              <w:pStyle w:val="BodyText"/>
            </w:pPr>
            <w:r w:rsidRPr="001778C5">
              <w:t xml:space="preserve">1.2 Prepare dies and all required parts, tools and equipment related to changing advanced or complex dies </w:t>
            </w:r>
          </w:p>
          <w:p w:rsidR="00000000" w:rsidRPr="001778C5" w:rsidP="001778C5">
            <w:pPr>
              <w:pStyle w:val="BodyText"/>
            </w:pPr>
            <w:r w:rsidRPr="001778C5">
              <w:t>1.3 Prepare the moulding machine for shutdown and die removal ac</w:t>
            </w:r>
            <w:r w:rsidRPr="001778C5">
              <w:t>cording to workplace procedures</w:t>
            </w:r>
          </w:p>
          <w:p w:rsidR="00000000" w:rsidRPr="001778C5" w:rsidP="001778C5">
            <w:pPr>
              <w:pStyle w:val="BodyText"/>
            </w:pPr>
            <w:r w:rsidRPr="001778C5">
              <w:t xml:space="preserve">1.4 Take last-off samples from the machine for die reports </w:t>
            </w:r>
          </w:p>
          <w:p w:rsidR="00000000" w:rsidRPr="001778C5" w:rsidP="001778C5">
            <w:pPr>
              <w:pStyle w:val="BodyText"/>
            </w:pPr>
            <w:r w:rsidRPr="001778C5">
              <w:t xml:space="preserve">1.5 Close down machine according to machine specifications and </w:t>
            </w:r>
            <w:r w:rsidRPr="001778C5">
              <w:t>workplace procedures</w:t>
            </w:r>
          </w:p>
          <w:p w:rsidR="00000000" w:rsidP="001778C5">
            <w:pPr>
              <w:pStyle w:val="BodyText"/>
              <w:rPr>
                <w:lang w:val="en-NZ"/>
              </w:rPr>
            </w:pPr>
            <w:r w:rsidRPr="001778C5">
              <w:t>1.6 Prepare machine for changeover according to workplace procedures</w:t>
            </w:r>
          </w:p>
        </w:tc>
      </w:tr>
      <w:tr w:rsidTr="001778C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C5">
            <w:pPr>
              <w:pStyle w:val="BodyText"/>
              <w:rPr>
                <w:lang w:val="en-NZ"/>
              </w:rPr>
            </w:pPr>
            <w:r w:rsidRPr="001778C5">
              <w:t xml:space="preserve">2. Change </w:t>
            </w:r>
            <w:r w:rsidRPr="001778C5">
              <w:t>dies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C5" w:rsidP="001778C5">
            <w:pPr>
              <w:pStyle w:val="BodyText"/>
            </w:pPr>
            <w:r w:rsidRPr="001778C5">
              <w:t>2.1 Plan removal process according to equipment safety requirements, work health and safety regulations and workplace procedures</w:t>
            </w:r>
          </w:p>
          <w:p w:rsidR="00000000" w:rsidRPr="001778C5" w:rsidP="001778C5">
            <w:pPr>
              <w:pStyle w:val="BodyText"/>
            </w:pPr>
            <w:r w:rsidRPr="001778C5">
              <w:t>2.2 Remove, clean and store die according to workplace procedures</w:t>
            </w:r>
          </w:p>
          <w:p w:rsidR="00000000" w:rsidP="001778C5">
            <w:pPr>
              <w:pStyle w:val="BodyText"/>
              <w:rPr>
                <w:lang w:val="en-NZ"/>
              </w:rPr>
            </w:pPr>
            <w:r w:rsidRPr="001778C5">
              <w:t>2.3 Attach replacement die, ensuring that locating devic</w:t>
            </w:r>
            <w:r w:rsidRPr="001778C5">
              <w:t xml:space="preserve">es and marks are matches and securing devices are installed and tightened according to specifications </w:t>
            </w:r>
          </w:p>
        </w:tc>
      </w:tr>
      <w:tr w:rsidTr="001778C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C5">
            <w:pPr>
              <w:pStyle w:val="BodyText"/>
              <w:rPr>
                <w:lang w:val="en-NZ"/>
              </w:rPr>
            </w:pPr>
            <w:r w:rsidRPr="001778C5">
              <w:t>3. Set advanced or complex dies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C5" w:rsidP="001778C5">
            <w:pPr>
              <w:pStyle w:val="BodyText"/>
            </w:pPr>
            <w:r w:rsidRPr="001778C5">
              <w:t>3.1 Set machine conditions for new die according to machine specifications</w:t>
            </w:r>
          </w:p>
          <w:p w:rsidR="00000000" w:rsidRPr="001778C5" w:rsidP="001778C5">
            <w:pPr>
              <w:pStyle w:val="BodyText"/>
            </w:pPr>
            <w:r w:rsidRPr="001778C5">
              <w:t>3.2 Restart machine according to workplace pr</w:t>
            </w:r>
            <w:r w:rsidRPr="001778C5">
              <w:t>ocedures</w:t>
            </w:r>
          </w:p>
          <w:p w:rsidR="00000000" w:rsidRPr="001778C5" w:rsidP="001778C5">
            <w:pPr>
              <w:pStyle w:val="BodyText"/>
            </w:pPr>
            <w:r w:rsidRPr="001778C5">
              <w:t>3.3 Run machine and die through dry cycle to check operation of die and power and control devices against die set-up specifications and product quality specifications</w:t>
            </w:r>
          </w:p>
          <w:p w:rsidR="00000000" w:rsidRPr="001778C5" w:rsidP="001778C5">
            <w:pPr>
              <w:pStyle w:val="BodyText"/>
            </w:pPr>
            <w:r w:rsidRPr="001778C5">
              <w:t xml:space="preserve">3.4 Check a first-off sample for compliance with required standards </w:t>
            </w:r>
          </w:p>
          <w:p w:rsidR="00000000" w:rsidRPr="001778C5" w:rsidP="001778C5">
            <w:pPr>
              <w:pStyle w:val="BodyText"/>
            </w:pPr>
            <w:r w:rsidRPr="001778C5">
              <w:t>3.5 Fine-tune settings and other production variables to meet specifications</w:t>
            </w:r>
          </w:p>
          <w:p w:rsidR="00000000" w:rsidP="001778C5">
            <w:pPr>
              <w:pStyle w:val="BodyText"/>
              <w:rPr>
                <w:lang w:val="en-NZ"/>
              </w:rPr>
            </w:pPr>
            <w:r w:rsidRPr="001778C5">
              <w:t>3.6 Accurately update workplace documentation and note any equipment variances between actual production and documented set-up conditions</w:t>
            </w:r>
          </w:p>
        </w:tc>
      </w:tr>
      <w:tr w:rsidTr="001778C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8C5">
            <w:pPr>
              <w:pStyle w:val="BodyText"/>
              <w:rPr>
                <w:lang w:val="en-NZ"/>
              </w:rPr>
            </w:pPr>
            <w:r w:rsidRPr="001778C5">
              <w:t>4. Anticipate and rectify die-setting pr</w:t>
            </w:r>
            <w:r w:rsidRPr="001778C5">
              <w:t>oblems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8C5" w:rsidP="001778C5">
            <w:pPr>
              <w:pStyle w:val="BodyText"/>
            </w:pPr>
            <w:r w:rsidRPr="001778C5">
              <w:t>4.1 Identify potential problems that may occur during the die changing and setting process and their causes</w:t>
            </w:r>
          </w:p>
          <w:p w:rsidR="00000000" w:rsidRPr="001778C5" w:rsidP="001778C5">
            <w:pPr>
              <w:pStyle w:val="BodyText"/>
            </w:pPr>
            <w:r w:rsidRPr="001778C5">
              <w:t xml:space="preserve">4.2 Determine, prioritise and implement preventative actions based on identified issues and causes </w:t>
            </w:r>
          </w:p>
          <w:p w:rsidR="00000000" w:rsidRPr="001778C5" w:rsidP="001778C5">
            <w:pPr>
              <w:pStyle w:val="BodyText"/>
            </w:pPr>
            <w:r w:rsidRPr="001778C5">
              <w:t xml:space="preserve">4.4 Recommend improvements in systems or </w:t>
            </w:r>
            <w:r w:rsidRPr="001778C5">
              <w:t>process to relevant personnel</w:t>
            </w:r>
          </w:p>
        </w:tc>
      </w:tr>
    </w:tbl>
    <w:p w:rsidR="00000000" w:rsidRPr="001778C5" w:rsidP="001778C5">
      <w:pPr>
        <w:pStyle w:val="BodyText"/>
      </w:pPr>
    </w:p>
    <w:p w:rsidR="00000000" w:rsidRPr="001778C5" w:rsidP="001778C5">
      <w:pPr>
        <w:pStyle w:val="AllowPageBreak"/>
      </w:pPr>
    </w:p>
    <w:p w:rsidR="00000000" w:rsidRPr="001778C5" w:rsidP="001778C5">
      <w:pPr>
        <w:pStyle w:val="Heading1"/>
      </w:pPr>
      <w:bookmarkStart w:id="6" w:name="O_1115812"/>
      <w:bookmarkEnd w:id="6"/>
      <w:r w:rsidRPr="001778C5">
        <w:t>Foundation Skills</w:t>
      </w:r>
    </w:p>
    <w:p w:rsidR="00000000" w:rsidRPr="001778C5" w:rsidP="00172B79">
      <w:pPr>
        <w:pStyle w:val="BodyText"/>
      </w:pPr>
      <w:r w:rsidRPr="001778C5">
        <w:t>This section describes those language, literacy, numeracy and employment skills that are essential to performance.</w:t>
      </w:r>
    </w:p>
    <w:p w:rsidR="00000000" w:rsidRPr="001778C5" w:rsidP="001778C5">
      <w:pPr>
        <w:pStyle w:val="ListBullet"/>
      </w:pPr>
      <w:r w:rsidRPr="001778C5">
        <w:t>Reading skills to interpret job and equipment specifications and workpl</w:t>
      </w:r>
      <w:r w:rsidRPr="001778C5">
        <w:t>ace procedures.</w:t>
      </w:r>
    </w:p>
    <w:p w:rsidR="00000000" w:rsidRPr="001778C5" w:rsidP="001778C5">
      <w:pPr>
        <w:pStyle w:val="ListBullet"/>
      </w:pPr>
      <w:r w:rsidRPr="001778C5">
        <w:t>Writing and oral communication skills to maintain process documentation and recommend process improvements.</w:t>
      </w:r>
    </w:p>
    <w:p w:rsidR="00000000" w:rsidRPr="00172B79" w:rsidP="00172B79">
      <w:pPr>
        <w:pStyle w:val="BodyText"/>
        <w:rPr>
          <w:i/>
        </w:rPr>
      </w:pPr>
      <w:r w:rsidRPr="00172B79">
        <w:rPr>
          <w:rStyle w:val="Emphasis"/>
        </w:rPr>
        <w:t>Other foundation skills essential to performance are explicit in the performance criteria of this unit of competency.</w:t>
      </w:r>
    </w:p>
    <w:p w:rsidR="00000000" w:rsidRPr="001778C5" w:rsidP="001778C5">
      <w:pPr>
        <w:pStyle w:val="Heading1"/>
      </w:pPr>
      <w:bookmarkStart w:id="7" w:name="O_1115814"/>
      <w:bookmarkEnd w:id="7"/>
      <w:r w:rsidRPr="001778C5">
        <w:t>Unit Mapping Information</w:t>
      </w:r>
    </w:p>
    <w:p w:rsidR="00000000" w:rsidRPr="001778C5" w:rsidP="00172B79">
      <w:pPr>
        <w:pStyle w:val="BodyText"/>
      </w:pPr>
      <w:r w:rsidRPr="001778C5">
        <w:t>Supersedes and is equivalent to PMBTECH402 Set advanced or complex dies.</w:t>
      </w:r>
    </w:p>
    <w:p w:rsidR="00000000" w:rsidRPr="001778C5" w:rsidP="001778C5">
      <w:pPr>
        <w:pStyle w:val="Heading1"/>
      </w:pPr>
      <w:bookmarkStart w:id="8" w:name="O_1115821"/>
      <w:bookmarkEnd w:id="8"/>
      <w:r w:rsidRPr="001778C5">
        <w:t>Links</w:t>
      </w:r>
    </w:p>
    <w:p w:rsidR="00000000" w:rsidRPr="001778C5" w:rsidP="00172B79">
      <w:pPr>
        <w:pStyle w:val="BodyText"/>
      </w:pPr>
      <w:r w:rsidRPr="001778C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A6BB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778C5" w:rsidP="00172B79">
      <w:pPr>
        <w:pStyle w:val="BodyText"/>
        <w:sectPr w:rsidSect="001778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78C5" w:rsidP="001778C5">
      <w:pPr>
        <w:pStyle w:val="SuperHeading"/>
      </w:pPr>
      <w:r w:rsidRPr="001778C5">
        <w:t>Assessment Requirements for PMBTECH402E Set advanced or complex injection moulding dies</w:t>
      </w:r>
    </w:p>
    <w:p w:rsidR="00000000" w:rsidRPr="001778C5" w:rsidP="001778C5">
      <w:pPr>
        <w:pStyle w:val="Heading1"/>
      </w:pPr>
      <w:bookmarkStart w:id="9" w:name="O_1115816"/>
      <w:bookmarkEnd w:id="9"/>
      <w:r w:rsidRPr="001778C5">
        <w:t>Modification History</w:t>
      </w:r>
    </w:p>
    <w:p w:rsidR="00000000" w:rsidRPr="001778C5" w:rsidP="00172B79">
      <w:pPr>
        <w:pStyle w:val="BodyText"/>
      </w:pPr>
      <w:r w:rsidRPr="001778C5">
        <w:t>Release 1. Unit code and title changed. Application change</w:t>
      </w:r>
      <w:r w:rsidRPr="001778C5">
        <w:t>d. Elements and Performance Criteria changed. Range of Conditions removed. Assessment Requirements changed. Supersedes and is equivalent to PMBTECH402 Set advanced or complex dies.</w:t>
      </w:r>
    </w:p>
    <w:p w:rsidR="00000000" w:rsidRPr="001778C5" w:rsidP="001778C5">
      <w:pPr>
        <w:pStyle w:val="Heading1"/>
      </w:pPr>
      <w:bookmarkStart w:id="10" w:name="O_1115817"/>
      <w:bookmarkEnd w:id="10"/>
      <w:r w:rsidRPr="001778C5">
        <w:t>Performance Evidence</w:t>
      </w:r>
    </w:p>
    <w:p w:rsidR="00000000" w:rsidRPr="001778C5" w:rsidP="00172B79">
      <w:pPr>
        <w:pStyle w:val="BodyText"/>
      </w:pPr>
      <w:r w:rsidRPr="001778C5">
        <w:t>There must be evidence the candidat</w:t>
      </w:r>
      <w:r w:rsidRPr="001778C5">
        <w:t>e has completed the tasks outlined in the elements and performance criteria of this unit of competency, and demonstrated the ability to:</w:t>
      </w:r>
    </w:p>
    <w:p w:rsidR="00000000" w:rsidRPr="001778C5" w:rsidP="001778C5">
      <w:pPr>
        <w:pStyle w:val="ListBullet"/>
      </w:pPr>
      <w:r w:rsidRPr="001778C5">
        <w:t>set at least one advanced or complex injection moulding die to meet operational requirements and specifications.</w:t>
      </w:r>
    </w:p>
    <w:p w:rsidR="00000000" w:rsidRPr="001778C5" w:rsidP="001778C5">
      <w:pPr>
        <w:pStyle w:val="AllowPageBreak"/>
      </w:pPr>
    </w:p>
    <w:p w:rsidR="00000000" w:rsidRPr="001778C5" w:rsidP="001778C5">
      <w:pPr>
        <w:pStyle w:val="Heading1"/>
      </w:pPr>
      <w:bookmarkStart w:id="11" w:name="O_1115818"/>
      <w:bookmarkEnd w:id="11"/>
      <w:r w:rsidRPr="001778C5">
        <w:t>Knowledge Evidence</w:t>
      </w:r>
    </w:p>
    <w:p w:rsidR="00000000" w:rsidRPr="001778C5" w:rsidP="00172B79">
      <w:pPr>
        <w:pStyle w:val="BodyText"/>
      </w:pPr>
      <w:r w:rsidRPr="001778C5">
        <w:t>There must be evidence the candidate has knowledge of:</w:t>
      </w:r>
    </w:p>
    <w:p w:rsidR="00000000" w:rsidRPr="001778C5" w:rsidP="001778C5">
      <w:pPr>
        <w:pStyle w:val="ListBullet"/>
      </w:pPr>
      <w:r w:rsidRPr="001778C5">
        <w:t>types and features of advanced or complex dies, including:</w:t>
      </w:r>
    </w:p>
    <w:p w:rsidR="00000000" w:rsidRPr="001778C5" w:rsidP="001778C5">
      <w:pPr>
        <w:pStyle w:val="ListBullet2"/>
      </w:pPr>
      <w:r w:rsidRPr="001778C5">
        <w:t xml:space="preserve">unscrewing systems </w:t>
      </w:r>
    </w:p>
    <w:p w:rsidR="00000000" w:rsidRPr="001778C5" w:rsidP="001778C5">
      <w:pPr>
        <w:pStyle w:val="ListBullet2"/>
      </w:pPr>
      <w:r w:rsidRPr="001778C5">
        <w:t>external power and control sources</w:t>
      </w:r>
    </w:p>
    <w:p w:rsidR="00000000" w:rsidRPr="001778C5" w:rsidP="001778C5">
      <w:pPr>
        <w:pStyle w:val="ListBullet2"/>
      </w:pPr>
      <w:r w:rsidRPr="001778C5">
        <w:t xml:space="preserve">sliding blocks or cores </w:t>
      </w:r>
    </w:p>
    <w:p w:rsidR="00000000" w:rsidRPr="001778C5" w:rsidP="001778C5">
      <w:pPr>
        <w:pStyle w:val="ListBullet2"/>
      </w:pPr>
      <w:r w:rsidRPr="001778C5">
        <w:t>safety interlocks</w:t>
      </w:r>
    </w:p>
    <w:p w:rsidR="00000000" w:rsidRPr="001778C5" w:rsidP="001778C5">
      <w:pPr>
        <w:pStyle w:val="ListBullet"/>
      </w:pPr>
      <w:r w:rsidRPr="001778C5">
        <w:t>spec</w:t>
      </w:r>
      <w:r w:rsidRPr="001778C5">
        <w:t>ial features of tooling for injection moulding production of thin-wall takeaway containers</w:t>
      </w:r>
    </w:p>
    <w:p w:rsidR="00000000" w:rsidRPr="001778C5" w:rsidP="001778C5">
      <w:pPr>
        <w:pStyle w:val="ListBullet"/>
      </w:pPr>
      <w:r w:rsidRPr="001778C5">
        <w:t>special features of hot-runner multi-cavity tooling</w:t>
      </w:r>
    </w:p>
    <w:p w:rsidR="00000000" w:rsidRPr="001778C5" w:rsidP="001778C5">
      <w:pPr>
        <w:pStyle w:val="ListBullet"/>
      </w:pPr>
      <w:r w:rsidRPr="001778C5">
        <w:t>special features of tooling for thermoset silicone injection moulding</w:t>
      </w:r>
    </w:p>
    <w:p w:rsidR="00000000" w:rsidRPr="001778C5" w:rsidP="001778C5">
      <w:pPr>
        <w:pStyle w:val="ListBullet"/>
      </w:pPr>
      <w:r w:rsidRPr="001778C5">
        <w:t>special features of tooling for large produ</w:t>
      </w:r>
      <w:r w:rsidRPr="001778C5">
        <w:t>cts such as bread crates</w:t>
      </w:r>
    </w:p>
    <w:p w:rsidR="00000000" w:rsidRPr="001778C5" w:rsidP="001778C5">
      <w:pPr>
        <w:pStyle w:val="ListBullet"/>
      </w:pPr>
      <w:r w:rsidRPr="001778C5">
        <w:t>typical process and product problems, including early warning signs, possible causes and corrective actions.</w:t>
      </w:r>
    </w:p>
    <w:p w:rsidR="00000000" w:rsidRPr="001778C5" w:rsidP="001778C5">
      <w:pPr>
        <w:pStyle w:val="AllowPageBreak"/>
      </w:pPr>
    </w:p>
    <w:p w:rsidR="00000000" w:rsidRPr="001778C5" w:rsidP="001778C5">
      <w:pPr>
        <w:pStyle w:val="Heading1"/>
      </w:pPr>
      <w:bookmarkStart w:id="12" w:name="O_1115819"/>
      <w:bookmarkEnd w:id="12"/>
      <w:r w:rsidRPr="001778C5">
        <w:t>Assessment Conditions</w:t>
      </w:r>
    </w:p>
    <w:p w:rsidR="00000000" w:rsidRPr="001778C5" w:rsidP="00172B79">
      <w:pPr>
        <w:pStyle w:val="BodyText"/>
      </w:pPr>
      <w:r w:rsidRPr="001778C5">
        <w:t>Skills must have been demonstrated in the workplace or in a simulated environment that reflects workplace conditions and contingencies</w:t>
      </w:r>
    </w:p>
    <w:p w:rsidR="00000000" w:rsidRPr="001778C5" w:rsidP="00172B79">
      <w:pPr>
        <w:pStyle w:val="BodyText"/>
      </w:pPr>
      <w:r w:rsidRPr="001778C5">
        <w:t>Assessors must satisfy the NVR/AQTF mandatory competency requirements for assessors.</w:t>
      </w:r>
    </w:p>
    <w:p w:rsidR="00000000" w:rsidRPr="001778C5" w:rsidP="001778C5">
      <w:pPr>
        <w:pStyle w:val="Heading1"/>
      </w:pPr>
      <w:bookmarkStart w:id="13" w:name="O_1115822"/>
      <w:bookmarkEnd w:id="13"/>
      <w:r w:rsidRPr="001778C5">
        <w:t>Links</w:t>
      </w:r>
    </w:p>
    <w:p w:rsidR="00000000" w:rsidRPr="001778C5" w:rsidP="00172B79">
      <w:pPr>
        <w:pStyle w:val="BodyText"/>
      </w:pPr>
      <w:r w:rsidRPr="001778C5">
        <w:t>Companion V</w:t>
      </w:r>
      <w:r w:rsidRPr="001778C5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A6BB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778C5" w:rsidP="001778C5"/>
    <w:sectPr w:rsidSect="001778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C5" w:rsidRPr="00172B79" w:rsidP="00172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79" w:rsidP="00177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B79" w:rsidP="00177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72B79" w:rsidP="001778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C5" w:rsidP="001778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2B79">
      <w:t>Approved</w:t>
    </w:r>
    <w:r w:rsidR="00172B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2B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2B79">
      <w:rPr>
        <w:noProof/>
      </w:rPr>
      <w:t>4</w:t>
    </w:r>
    <w:r>
      <w:rPr>
        <w:noProof/>
      </w:rPr>
      <w:fldChar w:fldCharType="end"/>
    </w:r>
  </w:p>
  <w:p w:rsidR="001778C5" w:rsidP="001778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2B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2B79">
      <w:t>Manufacturing Industry Skills Alliance</w:t>
    </w:r>
    <w:r w:rsidR="00172B79">
      <w:fldChar w:fldCharType="end"/>
    </w:r>
  </w:p>
  <w:p w:rsidR="001778C5" w:rsidP="001778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8C5" w:rsidRPr="00172B79" w:rsidP="00172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B79" w:rsidRPr="002D2AF8" w:rsidP="00177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PMBTECH402E Set advanced or complex injection moulding dies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2B79" w:rsidP="001778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8C5" w:rsidRPr="002D2AF8" w:rsidP="001778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2B79">
      <w:t>PMBTECH402E Set advanced or complex injection moulding dies</w:t>
    </w:r>
    <w:r w:rsidR="00172B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2B79">
      <w:rPr>
        <w:noProof/>
      </w:rPr>
      <w:t>2 March 2025</w:t>
    </w:r>
    <w:r>
      <w:fldChar w:fldCharType="end"/>
    </w:r>
  </w:p>
  <w:p w:rsidR="001778C5" w:rsidP="001778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204D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74B0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0E7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8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8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8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8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8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8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8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8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8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8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8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8C5"/>
  </w:style>
  <w:style w:type="character" w:customStyle="1" w:styleId="Heading1Char">
    <w:name w:val="Heading 1 Char"/>
    <w:basedOn w:val="DefaultParagraphFont"/>
    <w:link w:val="Heading1"/>
    <w:rsid w:val="001778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8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8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8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78C5"/>
    <w:rPr>
      <w:b/>
      <w:spacing w:val="0"/>
    </w:rPr>
  </w:style>
  <w:style w:type="paragraph" w:styleId="ListBullet2">
    <w:name w:val="List Bullet 2"/>
    <w:basedOn w:val="List2"/>
    <w:rsid w:val="001778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78C5"/>
    <w:rPr>
      <w:i/>
    </w:rPr>
  </w:style>
  <w:style w:type="paragraph" w:customStyle="1" w:styleId="SuperHeading">
    <w:name w:val="SuperHeading"/>
    <w:basedOn w:val="Normal"/>
    <w:rsid w:val="001778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8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8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8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8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8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8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8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8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8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8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8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8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8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8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8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8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8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8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8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8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8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8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8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8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8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8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8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8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8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8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8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78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8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8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8C5"/>
  </w:style>
  <w:style w:type="paragraph" w:styleId="TableofFigures">
    <w:name w:val="table of figures"/>
    <w:basedOn w:val="Normal"/>
    <w:next w:val="Normal"/>
    <w:semiHidden/>
    <w:rsid w:val="001778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8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8C5"/>
    <w:rPr>
      <w:rFonts w:ascii="Wingdings" w:hAnsi="Wingdings"/>
    </w:rPr>
  </w:style>
  <w:style w:type="paragraph" w:customStyle="1" w:styleId="TableHeading">
    <w:name w:val="Table Heading"/>
    <w:basedOn w:val="HeadingBase"/>
    <w:rsid w:val="001778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8C5"/>
    <w:rPr>
      <w:color w:val="0033CC"/>
      <w:u w:val="none"/>
    </w:rPr>
  </w:style>
  <w:style w:type="paragraph" w:customStyle="1" w:styleId="BodyTextRight">
    <w:name w:val="Body Text Right"/>
    <w:basedOn w:val="BodyText"/>
    <w:rsid w:val="001778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8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8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8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8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8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8C5"/>
    <w:rPr>
      <w:sz w:val="32"/>
    </w:rPr>
  </w:style>
  <w:style w:type="paragraph" w:customStyle="1" w:styleId="HeadingProcedure">
    <w:name w:val="Heading Procedure"/>
    <w:basedOn w:val="HeadingBase"/>
    <w:next w:val="Normal"/>
    <w:rsid w:val="001778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8C5"/>
    <w:pPr>
      <w:spacing w:before="60" w:after="60"/>
    </w:pPr>
  </w:style>
  <w:style w:type="paragraph" w:styleId="ListContinue">
    <w:name w:val="List Continue"/>
    <w:basedOn w:val="List"/>
    <w:rsid w:val="001778C5"/>
    <w:pPr>
      <w:ind w:firstLine="0"/>
    </w:pPr>
  </w:style>
  <w:style w:type="paragraph" w:customStyle="1" w:styleId="ListNote">
    <w:name w:val="List Note"/>
    <w:basedOn w:val="List"/>
    <w:rsid w:val="001778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8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8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8C5"/>
    <w:rPr>
      <w:rFonts w:ascii="Courier New" w:hAnsi="Courier New"/>
    </w:rPr>
  </w:style>
  <w:style w:type="paragraph" w:customStyle="1" w:styleId="NoteBullet">
    <w:name w:val="Note Bullet"/>
    <w:basedOn w:val="Note"/>
    <w:rsid w:val="001778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8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8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8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8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8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8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8C5"/>
    <w:rPr>
      <w:b/>
      <w:smallCaps/>
    </w:rPr>
  </w:style>
  <w:style w:type="paragraph" w:customStyle="1" w:styleId="TableListNumber">
    <w:name w:val="Table List Number"/>
    <w:basedOn w:val="ListNumber"/>
    <w:rsid w:val="001778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8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8C5"/>
    <w:pPr>
      <w:numPr>
        <w:numId w:val="9"/>
      </w:numPr>
    </w:pPr>
  </w:style>
  <w:style w:type="paragraph" w:customStyle="1" w:styleId="ListAlpha2">
    <w:name w:val="List Alpha 2"/>
    <w:basedOn w:val="List2"/>
    <w:rsid w:val="001778C5"/>
    <w:pPr>
      <w:numPr>
        <w:numId w:val="8"/>
      </w:numPr>
    </w:pPr>
  </w:style>
  <w:style w:type="paragraph" w:styleId="List2">
    <w:name w:val="List 2"/>
    <w:basedOn w:val="BodyText"/>
    <w:rsid w:val="001778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8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8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8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8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8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8C5"/>
    <w:pPr>
      <w:numPr>
        <w:numId w:val="4"/>
      </w:numPr>
    </w:pPr>
  </w:style>
  <w:style w:type="paragraph" w:styleId="ListContinue2">
    <w:name w:val="List Continue 2"/>
    <w:basedOn w:val="List2"/>
    <w:rsid w:val="001778C5"/>
    <w:pPr>
      <w:ind w:firstLine="0"/>
    </w:pPr>
  </w:style>
  <w:style w:type="paragraph" w:styleId="ListContinue3">
    <w:name w:val="List Continue 3"/>
    <w:basedOn w:val="List3"/>
    <w:rsid w:val="001778C5"/>
    <w:pPr>
      <w:ind w:left="1021" w:firstLine="0"/>
    </w:pPr>
  </w:style>
  <w:style w:type="paragraph" w:styleId="ListContinue4">
    <w:name w:val="List Continue 4"/>
    <w:basedOn w:val="List4"/>
    <w:rsid w:val="001778C5"/>
    <w:pPr>
      <w:ind w:firstLine="0"/>
    </w:pPr>
  </w:style>
  <w:style w:type="paragraph" w:styleId="ListContinue5">
    <w:name w:val="List Continue 5"/>
    <w:basedOn w:val="List5"/>
    <w:rsid w:val="001778C5"/>
    <w:pPr>
      <w:ind w:firstLine="0"/>
    </w:pPr>
  </w:style>
  <w:style w:type="paragraph" w:styleId="ListNumber3">
    <w:name w:val="List Number 3"/>
    <w:basedOn w:val="List3"/>
    <w:rsid w:val="001778C5"/>
    <w:pPr>
      <w:numPr>
        <w:numId w:val="5"/>
      </w:numPr>
    </w:pPr>
  </w:style>
  <w:style w:type="paragraph" w:styleId="ListNumber4">
    <w:name w:val="List Number 4"/>
    <w:basedOn w:val="List4"/>
    <w:rsid w:val="001778C5"/>
    <w:pPr>
      <w:numPr>
        <w:numId w:val="6"/>
      </w:numPr>
    </w:pPr>
  </w:style>
  <w:style w:type="paragraph" w:styleId="ListNumber5">
    <w:name w:val="List Number 5"/>
    <w:basedOn w:val="List5"/>
    <w:rsid w:val="001778C5"/>
    <w:pPr>
      <w:numPr>
        <w:numId w:val="7"/>
      </w:numPr>
    </w:pPr>
  </w:style>
  <w:style w:type="paragraph" w:styleId="BlockText">
    <w:name w:val="Block Text"/>
    <w:basedOn w:val="Normal"/>
    <w:rsid w:val="001778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8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8C5"/>
    <w:rPr>
      <w:sz w:val="16"/>
      <w:vertAlign w:val="superscript"/>
    </w:rPr>
  </w:style>
  <w:style w:type="character" w:customStyle="1" w:styleId="Symbols">
    <w:name w:val="Symbols"/>
    <w:basedOn w:val="DefaultParagraphFont"/>
    <w:rsid w:val="001778C5"/>
    <w:rPr>
      <w:rFonts w:ascii="Symbol" w:hAnsi="Symbol"/>
    </w:rPr>
  </w:style>
  <w:style w:type="character" w:customStyle="1" w:styleId="MenuOptions">
    <w:name w:val="Menu Options"/>
    <w:basedOn w:val="DefaultParagraphFont"/>
    <w:rsid w:val="001778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8C5"/>
    <w:rPr>
      <w:b/>
    </w:rPr>
  </w:style>
  <w:style w:type="character" w:customStyle="1" w:styleId="Underlined">
    <w:name w:val="Underlined"/>
    <w:basedOn w:val="DefaultParagraphFont"/>
    <w:rsid w:val="001778C5"/>
    <w:rPr>
      <w:u w:val="single"/>
    </w:rPr>
  </w:style>
  <w:style w:type="paragraph" w:customStyle="1" w:styleId="TableBodyTextRight">
    <w:name w:val="Table Body Text Right"/>
    <w:basedOn w:val="TableBodyText"/>
    <w:rsid w:val="001778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8C5"/>
    <w:rPr>
      <w:sz w:val="18"/>
    </w:rPr>
  </w:style>
  <w:style w:type="paragraph" w:customStyle="1" w:styleId="BodySmallRight">
    <w:name w:val="Body Small Right"/>
    <w:basedOn w:val="BodyTextRight"/>
    <w:rsid w:val="001778C5"/>
    <w:rPr>
      <w:sz w:val="18"/>
      <w:szCs w:val="18"/>
    </w:rPr>
  </w:style>
  <w:style w:type="paragraph" w:customStyle="1" w:styleId="MarginEdition">
    <w:name w:val="Margin Edition"/>
    <w:basedOn w:val="MarginNote"/>
    <w:rsid w:val="001778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8C5"/>
    <w:rPr>
      <w:sz w:val="2"/>
      <w:szCs w:val="2"/>
    </w:rPr>
  </w:style>
  <w:style w:type="character" w:customStyle="1" w:styleId="Small">
    <w:name w:val="Small"/>
    <w:basedOn w:val="DefaultParagraphFont"/>
    <w:rsid w:val="001778C5"/>
    <w:rPr>
      <w:sz w:val="16"/>
    </w:rPr>
  </w:style>
  <w:style w:type="paragraph" w:customStyle="1" w:styleId="WideTable">
    <w:name w:val="Wide Table"/>
    <w:basedOn w:val="Normal"/>
    <w:rsid w:val="001778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8C5"/>
  </w:style>
  <w:style w:type="paragraph" w:styleId="Quote">
    <w:name w:val="Quote"/>
    <w:basedOn w:val="Heading1"/>
    <w:link w:val="QuoteChar"/>
    <w:qFormat/>
    <w:rsid w:val="001778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8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8C5"/>
    <w:pPr>
      <w:pageBreakBefore/>
    </w:pPr>
  </w:style>
  <w:style w:type="paragraph" w:customStyle="1" w:styleId="Border">
    <w:name w:val="Border"/>
    <w:basedOn w:val="Normal"/>
    <w:qFormat/>
    <w:rsid w:val="001778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8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8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8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8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8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8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8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8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8C5"/>
    <w:rPr>
      <w:u w:val="single"/>
    </w:rPr>
  </w:style>
  <w:style w:type="character" w:customStyle="1" w:styleId="BoldandItalics">
    <w:name w:val="Bold and Italics"/>
    <w:qFormat/>
    <w:rsid w:val="001778C5"/>
    <w:rPr>
      <w:b/>
      <w:i/>
      <w:u w:val="none"/>
    </w:rPr>
  </w:style>
  <w:style w:type="paragraph" w:styleId="BalloonText">
    <w:name w:val="Balloon Text"/>
    <w:basedOn w:val="Normal"/>
    <w:link w:val="BalloonTextChar"/>
    <w:rsid w:val="001778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8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8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8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8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8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8C5"/>
    <w:pPr>
      <w:spacing w:before="0" w:after="0"/>
    </w:pPr>
  </w:style>
  <w:style w:type="paragraph" w:customStyle="1" w:styleId="BodyTextBold">
    <w:name w:val="Body Text Bold"/>
    <w:basedOn w:val="BodyText"/>
    <w:qFormat/>
    <w:rsid w:val="001778C5"/>
    <w:rPr>
      <w:b/>
    </w:rPr>
  </w:style>
  <w:style w:type="character" w:styleId="Hyperlink">
    <w:name w:val="Hyperlink"/>
    <w:basedOn w:val="DefaultParagraphFont"/>
    <w:uiPriority w:val="99"/>
    <w:unhideWhenUsed/>
    <w:rsid w:val="00172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4949</Characters>
  <Application>Microsoft Office Word</Application>
  <DocSecurity>0</DocSecurity>
  <Lines>137</Lines>
  <Paragraphs>87</Paragraphs>
  <ScaleCrop>false</ScaleCrop>
  <Company>Author-it Software Corporation Ltd.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PMBTECH402E Set advanced or complex injection moulding dies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2025-03-02T03:07:00Z</dcterms:created>
  <dcterms:modified xsi:type="dcterms:W3CDTF">2025-03-02T03:07:00Z</dcterms:modified>
</cp:coreProperties>
</file>