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ECB" w:rsidP="00FA2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PMBTECH401 Predict polymer properties and characteristics</w:t>
      </w:r>
      <w:r>
        <w:fldChar w:fldCharType="end"/>
      </w:r>
    </w:p>
    <w:p w:rsidR="00FA2ECB" w:rsidP="00FA2ECB">
      <w:pPr>
        <w:pStyle w:val="Version"/>
        <w:sectPr w:rsidSect="006E1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519" w:rsidP="006E1519">
      <w:pPr>
        <w:pStyle w:val="SuperHeading"/>
      </w:pPr>
      <w:r w:rsidRPr="006E1519">
        <w:t>Assessment Requirements for PMBTECH401 Predict polymer properties and characteristics</w:t>
      </w:r>
    </w:p>
    <w:p w:rsidR="00000000" w:rsidRPr="006E1519" w:rsidP="006E1519">
      <w:pPr>
        <w:pStyle w:val="Heading1"/>
      </w:pPr>
      <w:bookmarkStart w:id="1" w:name="O_927382"/>
      <w:bookmarkEnd w:id="1"/>
      <w:r w:rsidRPr="006E1519">
        <w:t>Modification History</w:t>
      </w:r>
    </w:p>
    <w:p w:rsidR="00000000" w:rsidRPr="006E1519" w:rsidP="00FA2ECB">
      <w:pPr>
        <w:pStyle w:val="BodyText"/>
      </w:pPr>
      <w:r w:rsidRPr="006E1519">
        <w:t>Release 1. Supersedes and is equivalent to PMBTECH401B Predict polymer properties and characteristics</w:t>
      </w:r>
    </w:p>
    <w:p w:rsidR="00000000" w:rsidRPr="006E1519" w:rsidP="006E1519">
      <w:pPr>
        <w:pStyle w:val="Heading1"/>
      </w:pPr>
      <w:bookmarkStart w:id="2" w:name="O_927385"/>
      <w:bookmarkEnd w:id="2"/>
      <w:r w:rsidRPr="006E1519">
        <w:t>Performance Evidence</w:t>
      </w:r>
    </w:p>
    <w:p w:rsidR="00000000" w:rsidRPr="006E1519" w:rsidP="00FA2ECB">
      <w:pPr>
        <w:pStyle w:val="BodyText"/>
      </w:pPr>
      <w:r w:rsidRPr="006E1519">
        <w:t>relevant to and satisfy the requirements of the elements and performance criteria and demonstrate the ability to:</w:t>
      </w:r>
    </w:p>
    <w:p w:rsidR="00000000" w:rsidRPr="006E1519" w:rsidP="006E1519">
      <w:pPr>
        <w:pStyle w:val="ListBullet"/>
      </w:pPr>
      <w:r w:rsidRPr="006E1519">
        <w:t xml:space="preserve">read and interpret technical reports and specifications, phase diagrams and standard test methods </w:t>
      </w:r>
    </w:p>
    <w:p w:rsidR="00000000" w:rsidRPr="006E1519" w:rsidP="006E1519">
      <w:pPr>
        <w:pStyle w:val="ListBullet"/>
      </w:pPr>
      <w:r w:rsidRPr="006E1519">
        <w:t>predict polymer prope</w:t>
      </w:r>
      <w:r w:rsidRPr="006E1519">
        <w:t>rties in relation to:</w:t>
      </w:r>
    </w:p>
    <w:p w:rsidR="00000000" w:rsidRPr="006E1519" w:rsidP="006E1519">
      <w:pPr>
        <w:pStyle w:val="ListBullet2"/>
      </w:pPr>
      <w:r w:rsidRPr="006E1519">
        <w:t xml:space="preserve">polymer morphology </w:t>
      </w:r>
    </w:p>
    <w:p w:rsidR="00000000" w:rsidRPr="006E1519" w:rsidP="006E1519">
      <w:pPr>
        <w:pStyle w:val="ListBullet2"/>
      </w:pPr>
      <w:r w:rsidRPr="006E1519">
        <w:t>polymer phase change</w:t>
      </w:r>
    </w:p>
    <w:p w:rsidR="00000000" w:rsidRPr="006E1519" w:rsidP="006E1519">
      <w:pPr>
        <w:pStyle w:val="ListBullet2"/>
      </w:pPr>
      <w:r w:rsidRPr="006E1519">
        <w:t>processing conditions</w:t>
      </w:r>
    </w:p>
    <w:p w:rsidR="00000000" w:rsidRPr="006E1519" w:rsidP="006E1519">
      <w:pPr>
        <w:pStyle w:val="ListBullet"/>
      </w:pPr>
      <w:r w:rsidRPr="006E1519">
        <w:t>predict the impact of use conditions and polymer characteristics on physical failure of polymers</w:t>
      </w:r>
    </w:p>
    <w:p w:rsidR="00000000" w:rsidRPr="006E1519" w:rsidP="006E1519">
      <w:pPr>
        <w:pStyle w:val="ListBullet"/>
      </w:pPr>
      <w:r w:rsidRPr="006E1519">
        <w:t xml:space="preserve">organise tests </w:t>
      </w:r>
    </w:p>
    <w:p w:rsidR="00000000" w:rsidRPr="006E1519" w:rsidP="006E1519">
      <w:pPr>
        <w:pStyle w:val="ListBullet"/>
      </w:pPr>
      <w:r w:rsidRPr="006E1519">
        <w:t>record and interpret test results.</w:t>
      </w:r>
    </w:p>
    <w:p w:rsidR="00000000" w:rsidRPr="006E1519" w:rsidP="006E1519">
      <w:pPr>
        <w:pStyle w:val="AllowPageBreak"/>
      </w:pPr>
    </w:p>
    <w:p w:rsidR="00000000" w:rsidRPr="006E1519" w:rsidP="006E1519">
      <w:pPr>
        <w:pStyle w:val="Heading1"/>
      </w:pPr>
      <w:bookmarkStart w:id="3" w:name="O_927384"/>
      <w:bookmarkEnd w:id="3"/>
      <w:r w:rsidRPr="006E1519">
        <w:t>Knowledge Evidence</w:t>
      </w:r>
    </w:p>
    <w:p w:rsidR="00000000" w:rsidRPr="006E1519" w:rsidP="00FA2ECB">
      <w:pPr>
        <w:pStyle w:val="BodyText"/>
      </w:pPr>
      <w:r w:rsidRPr="006E1519">
        <w:t>Must provide evidence that demonstrates knowledge relevant to their job sufficient to fulfil their job role, including knowledge of:</w:t>
      </w:r>
    </w:p>
    <w:p w:rsidR="00000000" w:rsidRPr="006E1519" w:rsidP="006E1519">
      <w:pPr>
        <w:pStyle w:val="ListBullet"/>
      </w:pPr>
      <w:r w:rsidRPr="006E1519">
        <w:t>function of equipment and stages of manufacturing process in at least one (1) method/field of polymer m</w:t>
      </w:r>
      <w:r w:rsidRPr="006E1519">
        <w:t xml:space="preserve">anufacturing  </w:t>
      </w:r>
    </w:p>
    <w:p w:rsidR="00000000" w:rsidRPr="006E1519" w:rsidP="006E1519">
      <w:pPr>
        <w:pStyle w:val="ListBullet"/>
      </w:pPr>
      <w:r w:rsidRPr="006E1519">
        <w:t>polymer morphology using phase diagrams</w:t>
      </w:r>
    </w:p>
    <w:p w:rsidR="00000000" w:rsidRPr="006E1519" w:rsidP="006E1519">
      <w:pPr>
        <w:pStyle w:val="ListBullet"/>
      </w:pPr>
      <w:r w:rsidRPr="006E1519">
        <w:t>properties of polymers in relation to their morphology</w:t>
      </w:r>
    </w:p>
    <w:p w:rsidR="00000000" w:rsidRPr="006E1519" w:rsidP="006E1519">
      <w:pPr>
        <w:pStyle w:val="ListBullet"/>
      </w:pPr>
      <w:r w:rsidRPr="006E1519">
        <w:t xml:space="preserve">physical failure in polymers </w:t>
      </w:r>
    </w:p>
    <w:p w:rsidR="00000000" w:rsidRPr="006E1519" w:rsidP="006E1519">
      <w:pPr>
        <w:pStyle w:val="ListBullet"/>
      </w:pPr>
      <w:r w:rsidRPr="006E1519">
        <w:t>polymer materials test methods and property data</w:t>
      </w:r>
    </w:p>
    <w:p w:rsidR="00000000" w:rsidRPr="006E1519" w:rsidP="006E1519">
      <w:pPr>
        <w:pStyle w:val="ListBullet"/>
      </w:pPr>
      <w:r w:rsidRPr="006E1519">
        <w:t>changes in properties and variations in test data</w:t>
      </w:r>
    </w:p>
    <w:p w:rsidR="00000000" w:rsidRPr="006E1519" w:rsidP="006E1519">
      <w:pPr>
        <w:pStyle w:val="ListBullet"/>
      </w:pPr>
      <w:r w:rsidRPr="006E1519">
        <w:t>changes in physic</w:t>
      </w:r>
      <w:r w:rsidRPr="006E1519">
        <w:t>al properties due to compounding, processing or environmental conditions</w:t>
      </w:r>
    </w:p>
    <w:p w:rsidR="00000000" w:rsidRPr="006E1519" w:rsidP="006E1519">
      <w:pPr>
        <w:pStyle w:val="ListBullet"/>
      </w:pPr>
      <w:r w:rsidRPr="006E1519">
        <w:t>organisation procedures relevant to the work environment/job role</w:t>
      </w:r>
    </w:p>
    <w:p w:rsidR="00000000" w:rsidRPr="006E1519" w:rsidP="006E1519">
      <w:pPr>
        <w:pStyle w:val="ListBullet"/>
      </w:pPr>
      <w:r w:rsidRPr="006E1519">
        <w:t>hierarchy of control</w:t>
      </w:r>
    </w:p>
    <w:p w:rsidR="00000000" w:rsidRPr="006E1519" w:rsidP="006E1519">
      <w:pPr>
        <w:pStyle w:val="ListBullet"/>
      </w:pPr>
      <w:r w:rsidRPr="006E1519">
        <w:t>hazards that may arise in the job/work environment and:</w:t>
      </w:r>
    </w:p>
    <w:p w:rsidR="00000000" w:rsidRPr="006E1519" w:rsidP="006E1519">
      <w:pPr>
        <w:pStyle w:val="ListBullet2"/>
      </w:pPr>
      <w:r w:rsidRPr="006E1519">
        <w:t xml:space="preserve">their possible causes </w:t>
      </w:r>
    </w:p>
    <w:p w:rsidR="00000000" w:rsidRPr="006E1519" w:rsidP="006E1519">
      <w:pPr>
        <w:pStyle w:val="ListBullet2"/>
      </w:pPr>
      <w:r w:rsidRPr="006E1519">
        <w:t>potential consequences</w:t>
      </w:r>
    </w:p>
    <w:p w:rsidR="00000000" w:rsidRPr="006E1519" w:rsidP="006E1519">
      <w:pPr>
        <w:pStyle w:val="ListBullet2"/>
      </w:pPr>
      <w:r w:rsidRPr="006E1519">
        <w:t>appropriate risk controls.</w:t>
      </w:r>
    </w:p>
    <w:p w:rsidR="00000000" w:rsidRPr="006E1519" w:rsidP="006E1519">
      <w:pPr>
        <w:pStyle w:val="AllowPageBreak"/>
      </w:pPr>
    </w:p>
    <w:p w:rsidR="00000000" w:rsidRPr="006E1519" w:rsidP="006E1519">
      <w:pPr>
        <w:pStyle w:val="Heading1"/>
      </w:pPr>
      <w:bookmarkStart w:id="4" w:name="O_927383"/>
      <w:bookmarkEnd w:id="4"/>
      <w:r w:rsidRPr="006E1519">
        <w:t>Assessment Conditions</w:t>
      </w:r>
    </w:p>
    <w:p w:rsidR="00000000" w:rsidRPr="006E1519" w:rsidP="006E1519">
      <w:pPr>
        <w:pStyle w:val="ListBullet"/>
      </w:pPr>
      <w:r w:rsidRPr="006E1519">
        <w:t xml:space="preserve">The unit should be assessed holistically and the judgement of competence shall be based on a holistic assessment of the evidence. </w:t>
      </w:r>
    </w:p>
    <w:p w:rsidR="00000000" w:rsidRPr="006E1519" w:rsidP="006E1519">
      <w:pPr>
        <w:pStyle w:val="ListBullet"/>
      </w:pPr>
      <w:r w:rsidRPr="006E1519">
        <w:t>The collection of performance evide</w:t>
      </w:r>
      <w:r w:rsidRPr="006E1519">
        <w:t>nce is best done from a report and/or folio of evidence drawn from:</w:t>
      </w:r>
    </w:p>
    <w:p w:rsidR="00000000" w:rsidRPr="006E1519" w:rsidP="006E1519">
      <w:pPr>
        <w:pStyle w:val="ListBullet2"/>
      </w:pPr>
      <w:r w:rsidRPr="006E1519">
        <w:t>a single project which provides sufficient evidence of the requirements of all the elements and performance criteria</w:t>
      </w:r>
    </w:p>
    <w:p w:rsidR="00000000" w:rsidRPr="006E1519" w:rsidP="006E1519">
      <w:pPr>
        <w:pStyle w:val="ListBullet2"/>
      </w:pPr>
      <w:r w:rsidRPr="006E1519">
        <w:t>multiple smaller projects which together provide sufficient evidence o</w:t>
      </w:r>
      <w:r w:rsidRPr="006E1519">
        <w:t>f the requirements of all the elements and performance criteria.</w:t>
      </w:r>
    </w:p>
    <w:p w:rsidR="00000000" w:rsidRPr="006E1519" w:rsidP="006E1519">
      <w:pPr>
        <w:pStyle w:val="ListBullet"/>
      </w:pPr>
      <w:r w:rsidRPr="006E1519">
        <w:t>A third-party report, or similar, may be needed to testify to the work done by the individual, particularly when the project has been done as part of a project team.</w:t>
      </w:r>
    </w:p>
    <w:p w:rsidR="00000000" w:rsidRPr="006E1519" w:rsidP="006E1519">
      <w:pPr>
        <w:pStyle w:val="ListBullet"/>
      </w:pPr>
      <w:r w:rsidRPr="006E1519">
        <w:t xml:space="preserve">Assessment should use a </w:t>
      </w:r>
      <w:r w:rsidRPr="006E1519">
        <w:t>real project in an operational workplace. Where this is not possible or where personal safety or environmental damage are limiting factors assessment must occur using a sufficiently rigorous simulated environment that reflects realistic operational workpla</w:t>
      </w:r>
      <w:r w:rsidRPr="006E1519">
        <w:t>ce conditions. This must cover all aspects of workplace performance, including environment, task skills, task management skills, contingency management skills and job role environment skills.</w:t>
      </w:r>
    </w:p>
    <w:p w:rsidR="00000000" w:rsidRPr="006E1519" w:rsidP="006E1519">
      <w:pPr>
        <w:pStyle w:val="ListBullet"/>
      </w:pPr>
      <w:r w:rsidRPr="006E1519">
        <w:t>Assessment in a simulated environment should use evidence collec</w:t>
      </w:r>
      <w:r w:rsidRPr="006E1519">
        <w:t xml:space="preserve">ted from demonstration of skills and one or more of: </w:t>
      </w:r>
    </w:p>
    <w:p w:rsidR="00000000" w:rsidRPr="006E1519" w:rsidP="006E1519">
      <w:pPr>
        <w:pStyle w:val="ListBullet2"/>
      </w:pPr>
      <w:r w:rsidRPr="006E1519">
        <w:t>walk-throughs</w:t>
      </w:r>
    </w:p>
    <w:p w:rsidR="00000000" w:rsidRPr="006E1519" w:rsidP="006E1519">
      <w:pPr>
        <w:pStyle w:val="ListBullet2"/>
      </w:pPr>
      <w:r w:rsidRPr="006E1519">
        <w:t>pilot plant operation</w:t>
      </w:r>
    </w:p>
    <w:p w:rsidR="00000000" w:rsidRPr="006E1519" w:rsidP="006E1519">
      <w:pPr>
        <w:pStyle w:val="ListBullet2"/>
      </w:pPr>
      <w:r w:rsidRPr="006E1519">
        <w:t xml:space="preserve">industry-based case studies/scenarios </w:t>
      </w:r>
    </w:p>
    <w:p w:rsidR="00000000" w:rsidRPr="006E1519" w:rsidP="006E1519">
      <w:pPr>
        <w:pStyle w:val="ListBullet2"/>
      </w:pPr>
      <w:r w:rsidRPr="006E1519">
        <w:t>‘what ifs’.</w:t>
      </w:r>
    </w:p>
    <w:p w:rsidR="00000000" w:rsidRPr="006E1519" w:rsidP="006E1519">
      <w:pPr>
        <w:pStyle w:val="ListBullet"/>
      </w:pPr>
      <w:r w:rsidRPr="006E1519">
        <w:t xml:space="preserve">Knowledge evidence may be collected concurrently with performance evidence or through an independent </w:t>
      </w:r>
      <w:r w:rsidRPr="006E1519">
        <w:t>process, such as workbooks, written assessments or interviews.</w:t>
      </w:r>
    </w:p>
    <w:p w:rsidR="00000000" w:rsidRPr="006E1519" w:rsidP="006E1519">
      <w:pPr>
        <w:pStyle w:val="ListBullet"/>
      </w:pPr>
      <w:r w:rsidRPr="006E1519">
        <w:t>Assessment processes and techniques must be appropriate to the language, literacy and numeracy requirements of the work being performed and the needs of the candidate.</w:t>
      </w:r>
    </w:p>
    <w:p w:rsidR="00000000" w:rsidRPr="006E1519" w:rsidP="006E1519">
      <w:pPr>
        <w:pStyle w:val="ListBullet"/>
      </w:pPr>
      <w:r w:rsidRPr="006E1519">
        <w:t>Conditions for assessment</w:t>
      </w:r>
      <w:r w:rsidRPr="006E1519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6E1519" w:rsidP="006E1519">
      <w:pPr>
        <w:pStyle w:val="ListBullet"/>
      </w:pPr>
      <w:r w:rsidRPr="006E1519">
        <w:t>The regulatory framework will be reflected in workplace policie</w:t>
      </w:r>
      <w:r w:rsidRPr="006E1519">
        <w:t>s and procedures and is not required to be independently assessed.</w:t>
      </w:r>
    </w:p>
    <w:p w:rsidR="00000000" w:rsidRPr="006E1519" w:rsidP="006E1519">
      <w:pPr>
        <w:pStyle w:val="ListBullet"/>
      </w:pPr>
      <w:r w:rsidRPr="006E1519">
        <w:t>Foundation skills are integral to competent performance of the unit and should not be assessed separately.</w:t>
      </w:r>
    </w:p>
    <w:p w:rsidR="00000000" w:rsidRPr="006E1519" w:rsidP="006E1519">
      <w:pPr>
        <w:pStyle w:val="ListBullet"/>
      </w:pPr>
      <w:r w:rsidRPr="006E1519">
        <w:t>Assessors must satisfy the assessor competency requirements that are in place at t</w:t>
      </w:r>
      <w:r w:rsidRPr="006E1519">
        <w:t>he time of the assessment as set by the VET regulator.</w:t>
      </w:r>
    </w:p>
    <w:p w:rsidR="00000000" w:rsidRPr="006E1519" w:rsidP="006E1519">
      <w:pPr>
        <w:pStyle w:val="ListBullet"/>
      </w:pPr>
      <w:r w:rsidRPr="006E1519">
        <w:t>In addition the assessor or anyone acting in subject matter expert role in assessment shall demonstrate both technical competency and currency. If the assessor cannot demonstrate technical competency a</w:t>
      </w:r>
      <w:r w:rsidRPr="006E1519">
        <w:t xml:space="preserve">nd currency they shall assess with a subject matter expert who does meet these requirements. </w:t>
      </w:r>
    </w:p>
    <w:p w:rsidR="00000000" w:rsidRPr="006E1519" w:rsidP="006E1519">
      <w:pPr>
        <w:pStyle w:val="ListBullet"/>
      </w:pPr>
      <w:r w:rsidRPr="006E1519">
        <w:t>Technical competence can be demonstrated through one or more of:</w:t>
      </w:r>
    </w:p>
    <w:p w:rsidR="00000000" w:rsidRPr="006E1519" w:rsidP="006E1519">
      <w:pPr>
        <w:pStyle w:val="ListBullet2"/>
      </w:pPr>
      <w:r w:rsidRPr="006E1519">
        <w:t xml:space="preserve">relevant VET or other qualification/Statement of Attainment </w:t>
      </w:r>
    </w:p>
    <w:p w:rsidR="00000000" w:rsidRPr="006E1519" w:rsidP="006E1519">
      <w:pPr>
        <w:pStyle w:val="ListBullet2"/>
      </w:pPr>
      <w:r w:rsidRPr="006E1519">
        <w:t>appropriate workplace experience un</w:t>
      </w:r>
      <w:r w:rsidRPr="006E1519">
        <w:t xml:space="preserve">dertaking the type of work being assessed under routine and non-routine conditions </w:t>
      </w:r>
    </w:p>
    <w:p w:rsidR="00000000" w:rsidRPr="006E1519" w:rsidP="006E1519">
      <w:pPr>
        <w:pStyle w:val="ListBullet2"/>
      </w:pPr>
      <w:r w:rsidRPr="006E1519">
        <w:t>appropriate workplace experience supervising/evaluating the type of work being assessed under routine and non-routine conditions</w:t>
      </w:r>
    </w:p>
    <w:p w:rsidR="00000000" w:rsidRPr="006E1519" w:rsidP="006E1519">
      <w:pPr>
        <w:pStyle w:val="ListBullet"/>
      </w:pPr>
      <w:r w:rsidRPr="006E1519">
        <w:t>Currency can be demonstrated through one o</w:t>
      </w:r>
      <w:r w:rsidRPr="006E1519">
        <w:t>r more of:</w:t>
      </w:r>
    </w:p>
    <w:p w:rsidR="00000000" w:rsidRPr="006E1519" w:rsidP="006E1519">
      <w:pPr>
        <w:pStyle w:val="ListBullet2"/>
      </w:pPr>
      <w:r w:rsidRPr="006E1519">
        <w:t xml:space="preserve">being currently employed undertaking the type of work being assessed </w:t>
      </w:r>
    </w:p>
    <w:p w:rsidR="00000000" w:rsidRPr="006E1519" w:rsidP="006E1519">
      <w:pPr>
        <w:pStyle w:val="ListBullet2"/>
      </w:pPr>
      <w:r w:rsidRPr="006E1519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6E1519" w:rsidP="006E1519">
      <w:pPr>
        <w:pStyle w:val="ListBullet2"/>
      </w:pPr>
      <w:r w:rsidRPr="006E151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E1519" w:rsidP="006E1519">
      <w:pPr>
        <w:pStyle w:val="ListBullet2"/>
      </w:pPr>
      <w:r w:rsidRPr="006E1519">
        <w:t>conducting on the job training/assessments of the type of work being assessed</w:t>
      </w:r>
      <w:r w:rsidRPr="006E1519">
        <w:t xml:space="preserve"> </w:t>
      </w:r>
    </w:p>
    <w:p w:rsidR="00000000" w:rsidRPr="006E1519" w:rsidP="006E1519">
      <w:pPr>
        <w:pStyle w:val="ListBullet2"/>
      </w:pPr>
      <w:r w:rsidRPr="006E1519">
        <w:t>being an active member of a relevant professional body and participating in activities relevant to the assessment of this type of work.</w:t>
      </w:r>
    </w:p>
    <w:p w:rsidR="00000000" w:rsidRPr="006E1519" w:rsidP="006E1519">
      <w:pPr>
        <w:pStyle w:val="AllowPageBreak"/>
      </w:pPr>
    </w:p>
    <w:p w:rsidR="00000000" w:rsidRPr="006E1519" w:rsidP="006E1519">
      <w:pPr>
        <w:pStyle w:val="Heading1"/>
      </w:pPr>
      <w:bookmarkStart w:id="5" w:name="O_927381"/>
      <w:bookmarkEnd w:id="5"/>
      <w:r w:rsidRPr="006E1519">
        <w:t>Links</w:t>
      </w:r>
    </w:p>
    <w:p w:rsidR="00000000" w:rsidRPr="006E1519" w:rsidP="00FA2ECB">
      <w:pPr>
        <w:pStyle w:val="BodyText"/>
      </w:pPr>
      <w:r w:rsidRPr="006E1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75E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E1519" w:rsidP="006E1519"/>
    <w:sectPr w:rsidSect="006E1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19" w:rsidRPr="00FA2ECB" w:rsidP="00FA2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B" w:rsidP="006E1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ECB" w:rsidP="006E1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2ECB" w:rsidP="006E1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519" w:rsidRPr="00FA2ECB" w:rsidP="00FA2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B" w:rsidRPr="002D2AF8" w:rsidP="006E1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PMBTECH401 Predict polymer properties and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2ECB" w:rsidP="006E1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A80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581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984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519"/>
  </w:style>
  <w:style w:type="character" w:customStyle="1" w:styleId="Heading1Char">
    <w:name w:val="Heading 1 Char"/>
    <w:basedOn w:val="DefaultParagraphFont"/>
    <w:link w:val="Heading1"/>
    <w:rsid w:val="006E1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5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15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519"/>
    <w:rPr>
      <w:b/>
      <w:spacing w:val="0"/>
    </w:rPr>
  </w:style>
  <w:style w:type="paragraph" w:customStyle="1" w:styleId="SuperTitle">
    <w:name w:val="SuperTitle"/>
    <w:basedOn w:val="Title"/>
    <w:rsid w:val="006E1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519"/>
    <w:rPr>
      <w:i/>
    </w:rPr>
  </w:style>
  <w:style w:type="paragraph" w:styleId="Caption">
    <w:name w:val="caption"/>
    <w:basedOn w:val="BodyText"/>
    <w:next w:val="Normal"/>
    <w:qFormat/>
    <w:rsid w:val="006E1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519"/>
  </w:style>
  <w:style w:type="paragraph" w:styleId="TableofFigures">
    <w:name w:val="table of figures"/>
    <w:basedOn w:val="Normal"/>
    <w:next w:val="Normal"/>
    <w:semiHidden/>
    <w:rsid w:val="006E1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5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1519"/>
    <w:rPr>
      <w:rFonts w:ascii="Wingdings" w:hAnsi="Wingdings"/>
    </w:rPr>
  </w:style>
  <w:style w:type="paragraph" w:customStyle="1" w:styleId="TableHeading">
    <w:name w:val="Table Heading"/>
    <w:basedOn w:val="HeadingBase"/>
    <w:rsid w:val="006E1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519"/>
    <w:rPr>
      <w:color w:val="0033CC"/>
      <w:u w:val="none"/>
    </w:rPr>
  </w:style>
  <w:style w:type="paragraph" w:customStyle="1" w:styleId="BodyTextRight">
    <w:name w:val="Body Text Right"/>
    <w:basedOn w:val="BodyText"/>
    <w:rsid w:val="006E1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5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519"/>
    <w:rPr>
      <w:sz w:val="32"/>
    </w:rPr>
  </w:style>
  <w:style w:type="paragraph" w:customStyle="1" w:styleId="HeadingProcedure">
    <w:name w:val="Heading Procedure"/>
    <w:basedOn w:val="HeadingBase"/>
    <w:next w:val="Normal"/>
    <w:rsid w:val="006E1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519"/>
    <w:pPr>
      <w:spacing w:before="60" w:after="60"/>
    </w:pPr>
  </w:style>
  <w:style w:type="paragraph" w:styleId="ListContinue">
    <w:name w:val="List Continue"/>
    <w:basedOn w:val="List"/>
    <w:rsid w:val="006E1519"/>
    <w:pPr>
      <w:ind w:firstLine="0"/>
    </w:pPr>
  </w:style>
  <w:style w:type="paragraph" w:customStyle="1" w:styleId="ListNote">
    <w:name w:val="List Note"/>
    <w:basedOn w:val="List"/>
    <w:rsid w:val="006E1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519"/>
    <w:rPr>
      <w:rFonts w:ascii="Courier New" w:hAnsi="Courier New"/>
    </w:rPr>
  </w:style>
  <w:style w:type="paragraph" w:customStyle="1" w:styleId="NoteBullet">
    <w:name w:val="Note Bullet"/>
    <w:basedOn w:val="Note"/>
    <w:rsid w:val="006E1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5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519"/>
    <w:rPr>
      <w:b/>
      <w:smallCaps/>
    </w:rPr>
  </w:style>
  <w:style w:type="paragraph" w:customStyle="1" w:styleId="TableListNumber">
    <w:name w:val="Table List Number"/>
    <w:basedOn w:val="ListNumber"/>
    <w:rsid w:val="006E1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519"/>
    <w:pPr>
      <w:numPr>
        <w:numId w:val="9"/>
      </w:numPr>
    </w:pPr>
  </w:style>
  <w:style w:type="paragraph" w:customStyle="1" w:styleId="ListAlpha2">
    <w:name w:val="List Alpha 2"/>
    <w:basedOn w:val="List2"/>
    <w:rsid w:val="006E1519"/>
    <w:pPr>
      <w:numPr>
        <w:numId w:val="8"/>
      </w:numPr>
    </w:pPr>
  </w:style>
  <w:style w:type="paragraph" w:styleId="List2">
    <w:name w:val="List 2"/>
    <w:basedOn w:val="BodyText"/>
    <w:rsid w:val="006E1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5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5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519"/>
    <w:pPr>
      <w:numPr>
        <w:numId w:val="4"/>
      </w:numPr>
    </w:pPr>
  </w:style>
  <w:style w:type="paragraph" w:styleId="ListContinue2">
    <w:name w:val="List Continue 2"/>
    <w:basedOn w:val="List2"/>
    <w:rsid w:val="006E1519"/>
    <w:pPr>
      <w:ind w:firstLine="0"/>
    </w:pPr>
  </w:style>
  <w:style w:type="paragraph" w:styleId="ListContinue3">
    <w:name w:val="List Continue 3"/>
    <w:basedOn w:val="List3"/>
    <w:rsid w:val="006E1519"/>
    <w:pPr>
      <w:ind w:left="1021" w:firstLine="0"/>
    </w:pPr>
  </w:style>
  <w:style w:type="paragraph" w:styleId="ListContinue4">
    <w:name w:val="List Continue 4"/>
    <w:basedOn w:val="List4"/>
    <w:rsid w:val="006E1519"/>
    <w:pPr>
      <w:ind w:firstLine="0"/>
    </w:pPr>
  </w:style>
  <w:style w:type="paragraph" w:styleId="ListContinue5">
    <w:name w:val="List Continue 5"/>
    <w:basedOn w:val="List5"/>
    <w:rsid w:val="006E1519"/>
    <w:pPr>
      <w:ind w:firstLine="0"/>
    </w:pPr>
  </w:style>
  <w:style w:type="paragraph" w:styleId="ListNumber3">
    <w:name w:val="List Number 3"/>
    <w:basedOn w:val="List3"/>
    <w:rsid w:val="006E1519"/>
    <w:pPr>
      <w:numPr>
        <w:numId w:val="5"/>
      </w:numPr>
    </w:pPr>
  </w:style>
  <w:style w:type="paragraph" w:styleId="ListNumber4">
    <w:name w:val="List Number 4"/>
    <w:basedOn w:val="List4"/>
    <w:rsid w:val="006E1519"/>
    <w:pPr>
      <w:numPr>
        <w:numId w:val="6"/>
      </w:numPr>
    </w:pPr>
  </w:style>
  <w:style w:type="paragraph" w:styleId="ListNumber5">
    <w:name w:val="List Number 5"/>
    <w:basedOn w:val="List5"/>
    <w:rsid w:val="006E1519"/>
    <w:pPr>
      <w:numPr>
        <w:numId w:val="7"/>
      </w:numPr>
    </w:pPr>
  </w:style>
  <w:style w:type="paragraph" w:styleId="BlockText">
    <w:name w:val="Block Text"/>
    <w:basedOn w:val="Normal"/>
    <w:rsid w:val="006E1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519"/>
    <w:rPr>
      <w:sz w:val="16"/>
      <w:vertAlign w:val="superscript"/>
    </w:rPr>
  </w:style>
  <w:style w:type="character" w:customStyle="1" w:styleId="Symbols">
    <w:name w:val="Symbols"/>
    <w:basedOn w:val="DefaultParagraphFont"/>
    <w:rsid w:val="006E1519"/>
    <w:rPr>
      <w:rFonts w:ascii="Symbol" w:hAnsi="Symbol"/>
    </w:rPr>
  </w:style>
  <w:style w:type="character" w:customStyle="1" w:styleId="MenuOptions">
    <w:name w:val="Menu Options"/>
    <w:basedOn w:val="DefaultParagraphFont"/>
    <w:rsid w:val="006E1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519"/>
    <w:rPr>
      <w:b/>
    </w:rPr>
  </w:style>
  <w:style w:type="character" w:customStyle="1" w:styleId="Underlined">
    <w:name w:val="Underlined"/>
    <w:basedOn w:val="DefaultParagraphFont"/>
    <w:rsid w:val="006E1519"/>
    <w:rPr>
      <w:u w:val="single"/>
    </w:rPr>
  </w:style>
  <w:style w:type="paragraph" w:customStyle="1" w:styleId="TableBodyTextRight">
    <w:name w:val="Table Body Text Right"/>
    <w:basedOn w:val="TableBodyText"/>
    <w:rsid w:val="006E1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519"/>
    <w:rPr>
      <w:sz w:val="18"/>
    </w:rPr>
  </w:style>
  <w:style w:type="paragraph" w:customStyle="1" w:styleId="BodySmallRight">
    <w:name w:val="Body Small Right"/>
    <w:basedOn w:val="BodyTextRight"/>
    <w:rsid w:val="006E1519"/>
    <w:rPr>
      <w:sz w:val="18"/>
      <w:szCs w:val="18"/>
    </w:rPr>
  </w:style>
  <w:style w:type="paragraph" w:customStyle="1" w:styleId="MarginEdition">
    <w:name w:val="Margin Edition"/>
    <w:basedOn w:val="MarginNote"/>
    <w:rsid w:val="006E1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519"/>
    <w:rPr>
      <w:sz w:val="2"/>
      <w:szCs w:val="2"/>
    </w:rPr>
  </w:style>
  <w:style w:type="character" w:customStyle="1" w:styleId="Small">
    <w:name w:val="Small"/>
    <w:basedOn w:val="DefaultParagraphFont"/>
    <w:rsid w:val="006E1519"/>
    <w:rPr>
      <w:sz w:val="16"/>
    </w:rPr>
  </w:style>
  <w:style w:type="paragraph" w:customStyle="1" w:styleId="WideTable">
    <w:name w:val="Wide Table"/>
    <w:basedOn w:val="Normal"/>
    <w:rsid w:val="006E1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519"/>
  </w:style>
  <w:style w:type="paragraph" w:styleId="Quote">
    <w:name w:val="Quote"/>
    <w:basedOn w:val="Heading1"/>
    <w:link w:val="QuoteChar"/>
    <w:qFormat/>
    <w:rsid w:val="006E1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519"/>
    <w:pPr>
      <w:pageBreakBefore/>
    </w:pPr>
  </w:style>
  <w:style w:type="paragraph" w:customStyle="1" w:styleId="Border">
    <w:name w:val="Border"/>
    <w:basedOn w:val="Normal"/>
    <w:qFormat/>
    <w:rsid w:val="006E1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519"/>
    <w:rPr>
      <w:u w:val="single"/>
    </w:rPr>
  </w:style>
  <w:style w:type="character" w:customStyle="1" w:styleId="BoldandItalics">
    <w:name w:val="Bold and Italics"/>
    <w:qFormat/>
    <w:rsid w:val="006E1519"/>
    <w:rPr>
      <w:b/>
      <w:i/>
      <w:u w:val="none"/>
    </w:rPr>
  </w:style>
  <w:style w:type="paragraph" w:styleId="BalloonText">
    <w:name w:val="Balloon Text"/>
    <w:basedOn w:val="Normal"/>
    <w:link w:val="BalloonTextChar"/>
    <w:rsid w:val="006E1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519"/>
    <w:pPr>
      <w:spacing w:before="0" w:after="0"/>
    </w:pPr>
  </w:style>
  <w:style w:type="paragraph" w:customStyle="1" w:styleId="BodyTextBold">
    <w:name w:val="Body Text Bold"/>
    <w:basedOn w:val="BodyText"/>
    <w:qFormat/>
    <w:rsid w:val="006E1519"/>
    <w:rPr>
      <w:b/>
    </w:rPr>
  </w:style>
  <w:style w:type="character" w:styleId="Hyperlink">
    <w:name w:val="Hyperlink"/>
    <w:basedOn w:val="DefaultParagraphFont"/>
    <w:uiPriority w:val="99"/>
    <w:unhideWhenUsed/>
    <w:rsid w:val="00FA2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4799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PMBTECH401 Predict polymer properties and characteristics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