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B61" w:rsidP="00071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PMBPROD430E Trial a new injection moulding die</w:t>
      </w:r>
      <w:r>
        <w:fldChar w:fldCharType="end"/>
      </w:r>
    </w:p>
    <w:p w:rsidR="00071B61" w:rsidP="00071B61">
      <w:pPr>
        <w:pStyle w:val="Version"/>
        <w:sectPr w:rsidSect="00D46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20C" w:rsidP="00D4620C">
      <w:pPr>
        <w:pStyle w:val="SuperHeading"/>
      </w:pPr>
      <w:r w:rsidRPr="00D4620C">
        <w:t>PMBPROD430E Trial a new injection moulding die</w:t>
      </w:r>
    </w:p>
    <w:p w:rsidR="00000000" w:rsidRPr="00D4620C" w:rsidP="00D4620C">
      <w:pPr>
        <w:pStyle w:val="Heading1"/>
      </w:pPr>
      <w:bookmarkStart w:id="1" w:name="O_1115674"/>
      <w:bookmarkEnd w:id="1"/>
      <w:r w:rsidRPr="00D4620C">
        <w:t>Modification History</w:t>
      </w:r>
    </w:p>
    <w:p w:rsidR="00000000" w:rsidRPr="00D4620C" w:rsidP="00071B61">
      <w:pPr>
        <w:pStyle w:val="BodyText"/>
      </w:pPr>
      <w:r w:rsidRPr="00D4620C">
        <w:t>Release 1. Unit code and title changed. Application changed. Elements and Performance Criteria changed. Range of Conditions removed. Assessment Requirements changed. Supersedes and is equivalent to PMBPROD430 Trial a new die/t</w:t>
      </w:r>
      <w:r w:rsidRPr="00D4620C">
        <w:t>ool.</w:t>
      </w:r>
    </w:p>
    <w:p w:rsidR="00000000" w:rsidRPr="00D4620C" w:rsidP="00D4620C">
      <w:pPr>
        <w:pStyle w:val="Heading1"/>
      </w:pPr>
      <w:bookmarkStart w:id="2" w:name="O_1115675"/>
      <w:bookmarkEnd w:id="2"/>
      <w:r w:rsidRPr="00D4620C">
        <w:t>Application</w:t>
      </w:r>
    </w:p>
    <w:p w:rsidR="00000000" w:rsidRPr="00D4620C" w:rsidP="00071B61">
      <w:pPr>
        <w:pStyle w:val="BodyText"/>
      </w:pPr>
      <w:r w:rsidRPr="00D4620C">
        <w:t>This unit covers the skills and knowledge required to trial new injection moulding dies for thermoplastic moulding production, to both optimise existing production processes and install replacement dies.</w:t>
      </w:r>
    </w:p>
    <w:p w:rsidR="00000000" w:rsidRPr="00D4620C" w:rsidP="00071B61">
      <w:pPr>
        <w:pStyle w:val="BodyText"/>
      </w:pPr>
      <w:r w:rsidRPr="00D4620C">
        <w:t>This unit applie</w:t>
      </w:r>
      <w:r w:rsidRPr="00D4620C">
        <w:t>s to an experienced technician working alone or as part of a team.</w:t>
      </w:r>
    </w:p>
    <w:p w:rsidR="00000000" w:rsidRPr="00D4620C" w:rsidP="00071B61">
      <w:pPr>
        <w:pStyle w:val="BodyText"/>
      </w:pPr>
      <w:r w:rsidRPr="00D4620C">
        <w:t>The unit principally refers to the standard die-trialling procedure for all dies, whether simple or complex types, and that the aim of the die trial is to audit the die and establish produc</w:t>
      </w:r>
      <w:r w:rsidRPr="00D4620C">
        <w:t>tion settings or tooling modifications.</w:t>
      </w:r>
    </w:p>
    <w:p w:rsidR="00000000" w:rsidRPr="00D4620C" w:rsidP="00071B61">
      <w:pPr>
        <w:pStyle w:val="BodyText"/>
      </w:pPr>
      <w:r w:rsidRPr="00D4620C">
        <w:t>No licensing or certification requirements exist at the time of publication. Relevant legislation, industry standards and codes of practice within Australia must be applied.</w:t>
      </w:r>
    </w:p>
    <w:p w:rsidR="00000000" w:rsidRPr="00D4620C" w:rsidP="00D4620C">
      <w:pPr>
        <w:pStyle w:val="Heading1"/>
      </w:pPr>
      <w:bookmarkStart w:id="3" w:name="O_1115676"/>
      <w:bookmarkEnd w:id="3"/>
      <w:r w:rsidRPr="00D4620C">
        <w:t>Pre-requisite Unit</w:t>
      </w:r>
    </w:p>
    <w:p w:rsidR="00000000" w:rsidRPr="00D4620C" w:rsidP="00071B61">
      <w:pPr>
        <w:pStyle w:val="BodyText"/>
      </w:pPr>
      <w:r w:rsidRPr="00D4620C">
        <w:t>Nil.</w:t>
      </w:r>
    </w:p>
    <w:p w:rsidR="00000000" w:rsidRPr="00D4620C" w:rsidP="00D4620C">
      <w:pPr>
        <w:pStyle w:val="Heading1"/>
      </w:pPr>
      <w:bookmarkStart w:id="4" w:name="O_1115677"/>
      <w:bookmarkEnd w:id="4"/>
      <w:r w:rsidRPr="00D4620C">
        <w:t>Competency Field</w:t>
      </w:r>
    </w:p>
    <w:p w:rsidR="00000000" w:rsidRPr="00D4620C" w:rsidP="00071B61">
      <w:pPr>
        <w:pStyle w:val="BodyText"/>
      </w:pPr>
      <w:r w:rsidRPr="00D4620C">
        <w:t>Production – Injection Moulding</w:t>
      </w:r>
    </w:p>
    <w:p w:rsidR="00000000" w:rsidRPr="00D4620C" w:rsidP="00D4620C">
      <w:pPr>
        <w:pStyle w:val="Heading1"/>
      </w:pPr>
      <w:bookmarkStart w:id="5" w:name="O_1115679"/>
      <w:bookmarkEnd w:id="5"/>
      <w:r w:rsidRPr="00D4620C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462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0C" w:rsidP="00D4620C">
            <w:pPr>
              <w:pStyle w:val="BodyText"/>
            </w:pPr>
            <w:r w:rsidRPr="00D4620C">
              <w:rPr>
                <w:rStyle w:val="SpecialBold"/>
              </w:rPr>
              <w:t>Elements</w:t>
            </w:r>
          </w:p>
          <w:p w:rsidR="00000000" w:rsidRPr="00D4620C" w:rsidP="00D4620C">
            <w:pPr>
              <w:pStyle w:val="BodyText"/>
            </w:pPr>
            <w:r w:rsidRPr="00D4620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0C" w:rsidP="00D4620C">
            <w:pPr>
              <w:pStyle w:val="BodyText"/>
            </w:pPr>
            <w:r w:rsidRPr="00D4620C">
              <w:rPr>
                <w:rStyle w:val="SpecialBold"/>
              </w:rPr>
              <w:t>Performance Criteria</w:t>
            </w:r>
          </w:p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Performance criteria describe the performance needed to demons</w:t>
            </w:r>
            <w:r w:rsidRPr="00D4620C">
              <w:t xml:space="preserve">trate achievement of the element. </w:t>
            </w:r>
          </w:p>
        </w:tc>
      </w:tr>
      <w:tr w:rsidTr="00D462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1. Determine trial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0C" w:rsidP="00D4620C">
            <w:pPr>
              <w:pStyle w:val="BodyText"/>
            </w:pPr>
            <w:r w:rsidRPr="00D4620C">
              <w:t>1.1 Gather and interpret all relevant, available information including job sheets from workplace and equipment documentation</w:t>
            </w:r>
          </w:p>
          <w:p w:rsidR="00000000" w:rsidRPr="00D4620C" w:rsidP="00D4620C">
            <w:pPr>
              <w:pStyle w:val="BodyText"/>
            </w:pPr>
            <w:r w:rsidRPr="00D4620C">
              <w:t>1.2 Confirm machine or equipment suitability to meet trial requirements</w:t>
            </w:r>
          </w:p>
          <w:p w:rsidR="00000000" w:rsidRPr="00D4620C" w:rsidP="00D4620C">
            <w:pPr>
              <w:pStyle w:val="BodyText"/>
            </w:pPr>
            <w:r w:rsidRPr="00D4620C">
              <w:t>1.3 Confirm die state in readiness for set-up to commence</w:t>
            </w:r>
          </w:p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1.4 Confirm readiness of raw materials for use in trial</w:t>
            </w:r>
          </w:p>
        </w:tc>
      </w:tr>
      <w:tr w:rsidTr="00D462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2. Set die and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0C" w:rsidP="00D4620C">
            <w:pPr>
              <w:pStyle w:val="BodyText"/>
            </w:pPr>
            <w:r w:rsidRPr="00D4620C">
              <w:t>2.1 Follow safe working practices according to</w:t>
            </w:r>
            <w:r w:rsidRPr="00D4620C">
              <w:t xml:space="preserve"> workplace procedures</w:t>
            </w:r>
          </w:p>
          <w:p w:rsidR="00000000" w:rsidRPr="00D4620C" w:rsidP="00D4620C">
            <w:pPr>
              <w:pStyle w:val="BodyText"/>
            </w:pPr>
            <w:r w:rsidRPr="00D4620C">
              <w:t>2.2 Fit and set up die according to trial requirements and workplace procedures</w:t>
            </w:r>
          </w:p>
          <w:p w:rsidR="00000000" w:rsidRPr="00D4620C" w:rsidP="00D4620C">
            <w:pPr>
              <w:pStyle w:val="BodyText"/>
            </w:pPr>
            <w:r w:rsidRPr="00D4620C">
              <w:t>2.3 Set up process conditions and machinery to meet product specifications and safe operational requirements during trial</w:t>
            </w:r>
          </w:p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2.4 Dry cycle machine and die ac</w:t>
            </w:r>
            <w:r w:rsidRPr="00D4620C">
              <w:t>cording to workplace procedures</w:t>
            </w:r>
          </w:p>
        </w:tc>
      </w:tr>
      <w:tr w:rsidTr="00D462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3. Perform die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0C" w:rsidP="00D4620C">
            <w:pPr>
              <w:pStyle w:val="BodyText"/>
            </w:pPr>
            <w:r w:rsidRPr="00D4620C">
              <w:t>3.1 Start trial process according to workplace procedures</w:t>
            </w:r>
          </w:p>
          <w:p w:rsidR="00000000" w:rsidRPr="00D4620C" w:rsidP="00D4620C">
            <w:pPr>
              <w:pStyle w:val="BodyText"/>
            </w:pPr>
            <w:r w:rsidRPr="00D4620C">
              <w:t>3.2 Identify and record variations according to workplace procedures</w:t>
            </w:r>
          </w:p>
          <w:p w:rsidR="00000000" w:rsidRPr="00D4620C" w:rsidP="00D4620C">
            <w:pPr>
              <w:pStyle w:val="BodyText"/>
            </w:pPr>
            <w:r w:rsidRPr="00D4620C">
              <w:t>3.3 Monitor control panel and interpret test results for fluctuations, vari</w:t>
            </w:r>
            <w:r w:rsidRPr="00D4620C">
              <w:t>ations and trends</w:t>
            </w:r>
          </w:p>
          <w:p w:rsidR="00000000" w:rsidRPr="00D4620C" w:rsidP="00D4620C">
            <w:pPr>
              <w:pStyle w:val="BodyText"/>
            </w:pPr>
            <w:r w:rsidRPr="00D4620C">
              <w:t xml:space="preserve">3.4 Determine process limitations with respect to product and production specifications </w:t>
            </w:r>
          </w:p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3.5 Adjust controls to maintain parameters to job specifications based on interpretation of trial performance</w:t>
            </w:r>
          </w:p>
        </w:tc>
      </w:tr>
      <w:tr w:rsidTr="00D462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0C" w:rsidP="00D4620C">
            <w:pPr>
              <w:pStyle w:val="BodyText"/>
            </w:pPr>
            <w:r w:rsidRPr="00D4620C">
              <w:t>4.1 Identify potential range of process control variances that may occur and their impact on product and production specifications</w:t>
            </w:r>
          </w:p>
          <w:p w:rsidR="00000000" w:rsidRPr="00D4620C" w:rsidP="00D4620C">
            <w:pPr>
              <w:pStyle w:val="BodyText"/>
            </w:pPr>
            <w:r w:rsidRPr="00D4620C">
              <w:t xml:space="preserve">4.2 Make adjustments to tooling and equipment and accurately record action </w:t>
            </w:r>
            <w:r w:rsidRPr="00D4620C">
              <w:t>taken according to workplace procedures</w:t>
            </w:r>
          </w:p>
          <w:p w:rsidR="00000000" w:rsidRPr="00D4620C" w:rsidP="00D4620C">
            <w:pPr>
              <w:pStyle w:val="BodyText"/>
            </w:pPr>
            <w:r w:rsidRPr="00D4620C">
              <w:t>4.3 Identify and respond to actual process control variances according to workplace procedures and their causes</w:t>
            </w:r>
          </w:p>
          <w:p w:rsidR="00000000" w:rsidRPr="00D4620C" w:rsidP="00D4620C">
            <w:pPr>
              <w:pStyle w:val="BodyText"/>
            </w:pPr>
            <w:r w:rsidRPr="00D4620C">
              <w:t>4.4 Monitor process control variances and corrective actions taken until resolved</w:t>
            </w:r>
          </w:p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4.5 Accurately maintai</w:t>
            </w:r>
            <w:r w:rsidRPr="00D4620C">
              <w:t>n records and logbooks</w:t>
            </w:r>
          </w:p>
        </w:tc>
      </w:tr>
      <w:tr w:rsidTr="00D462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0C">
            <w:pPr>
              <w:pStyle w:val="BodyText"/>
              <w:rPr>
                <w:lang w:val="en-NZ"/>
              </w:rPr>
            </w:pPr>
            <w:r w:rsidRPr="00D4620C">
              <w:t>5. Complete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0C" w:rsidP="00D4620C">
            <w:pPr>
              <w:pStyle w:val="BodyText"/>
            </w:pPr>
            <w:r w:rsidRPr="00D4620C">
              <w:t>5.1 Shut down equipment in normal and abnormal circumstances according to workplace procedures</w:t>
            </w:r>
          </w:p>
          <w:p w:rsidR="00000000" w:rsidRPr="00D4620C" w:rsidP="00D4620C">
            <w:pPr>
              <w:pStyle w:val="BodyText"/>
            </w:pPr>
            <w:r w:rsidRPr="00D4620C">
              <w:t>5.2 Accurately record and report on trial results</w:t>
            </w:r>
          </w:p>
          <w:p w:rsidR="00000000" w:rsidRPr="00D4620C" w:rsidP="00D4620C">
            <w:pPr>
              <w:pStyle w:val="BodyText"/>
            </w:pPr>
            <w:r w:rsidRPr="00D4620C">
              <w:t>5.3 Return machine to normal service according to production requirem</w:t>
            </w:r>
            <w:r w:rsidRPr="00D4620C">
              <w:t>ents and advise relevant personnel</w:t>
            </w:r>
          </w:p>
        </w:tc>
      </w:tr>
    </w:tbl>
    <w:p w:rsidR="00000000" w:rsidRPr="00D4620C" w:rsidP="00D4620C">
      <w:pPr>
        <w:pStyle w:val="BodyText"/>
      </w:pPr>
    </w:p>
    <w:p w:rsidR="00000000" w:rsidRPr="00D4620C" w:rsidP="00D4620C">
      <w:pPr>
        <w:pStyle w:val="AllowPageBreak"/>
      </w:pPr>
    </w:p>
    <w:p w:rsidR="00000000" w:rsidRPr="00D4620C" w:rsidP="00D4620C">
      <w:pPr>
        <w:pStyle w:val="Heading1"/>
      </w:pPr>
      <w:bookmarkStart w:id="6" w:name="O_1115680"/>
      <w:bookmarkEnd w:id="6"/>
      <w:r w:rsidRPr="00D4620C">
        <w:t>Foundation Skills</w:t>
      </w:r>
    </w:p>
    <w:p w:rsidR="00000000" w:rsidRPr="00D4620C" w:rsidP="00071B61">
      <w:pPr>
        <w:pStyle w:val="BodyText"/>
      </w:pPr>
      <w:r w:rsidRPr="00D4620C">
        <w:t xml:space="preserve">This section describes those language, literacy, numeracy and employment skills that are essential to performance. </w:t>
      </w:r>
    </w:p>
    <w:p w:rsidR="00000000" w:rsidRPr="00D4620C" w:rsidP="00D4620C">
      <w:pPr>
        <w:pStyle w:val="ListBullet"/>
      </w:pPr>
      <w:r w:rsidRPr="00D4620C">
        <w:t>Numeracy skills to record and report on data received from the tr</w:t>
      </w:r>
      <w:r w:rsidRPr="00D4620C">
        <w:t>ial process.</w:t>
      </w:r>
    </w:p>
    <w:p w:rsidR="00000000" w:rsidRPr="00D4620C" w:rsidP="00D4620C">
      <w:pPr>
        <w:pStyle w:val="ListBullet"/>
      </w:pPr>
      <w:r w:rsidRPr="00D4620C">
        <w:t>Reading skills to interpret and apply workplace information to the trial.</w:t>
      </w:r>
    </w:p>
    <w:p w:rsidR="00000000" w:rsidRPr="00D4620C" w:rsidP="00D4620C">
      <w:pPr>
        <w:pStyle w:val="ListBullet"/>
      </w:pPr>
      <w:r w:rsidRPr="00D4620C">
        <w:t>Writing and oral communication skills to record and report on the trial results and process control variances that arose.</w:t>
      </w:r>
    </w:p>
    <w:p w:rsidR="00000000" w:rsidRPr="00D4620C" w:rsidP="00D4620C">
      <w:pPr>
        <w:pStyle w:val="BodyText"/>
      </w:pPr>
    </w:p>
    <w:p w:rsidR="00000000" w:rsidRPr="00071B61" w:rsidP="00071B61">
      <w:pPr>
        <w:pStyle w:val="BodyText"/>
        <w:rPr>
          <w:i/>
        </w:rPr>
      </w:pPr>
      <w:r w:rsidRPr="00071B61">
        <w:rPr>
          <w:rStyle w:val="Emphasis"/>
        </w:rPr>
        <w:t>Other foundation skills essential to performance are explicit in the performance criteria of this unit of competency.</w:t>
      </w:r>
    </w:p>
    <w:p w:rsidR="00000000" w:rsidRPr="00D4620C" w:rsidP="00D4620C">
      <w:pPr>
        <w:pStyle w:val="Heading1"/>
      </w:pPr>
      <w:bookmarkStart w:id="7" w:name="O_1115682"/>
      <w:bookmarkEnd w:id="7"/>
      <w:r w:rsidRPr="00D4620C">
        <w:t>Unit Mapping Information</w:t>
      </w:r>
    </w:p>
    <w:p w:rsidR="00000000" w:rsidRPr="00D4620C" w:rsidP="00071B61">
      <w:pPr>
        <w:pStyle w:val="BodyText"/>
      </w:pPr>
      <w:r w:rsidRPr="00D4620C">
        <w:t>Supersedes and is equivalent to PMBPROD430 Trial a new die/tool.</w:t>
      </w:r>
    </w:p>
    <w:p w:rsidR="00000000" w:rsidRPr="00D4620C" w:rsidP="00D4620C">
      <w:pPr>
        <w:pStyle w:val="Heading1"/>
      </w:pPr>
      <w:bookmarkStart w:id="8" w:name="O_1115689"/>
      <w:bookmarkEnd w:id="8"/>
      <w:r w:rsidRPr="00D4620C">
        <w:t>Links</w:t>
      </w:r>
    </w:p>
    <w:p w:rsidR="00000000" w:rsidRPr="00D4620C" w:rsidP="00071B61">
      <w:pPr>
        <w:pStyle w:val="BodyText"/>
      </w:pPr>
      <w:r w:rsidRPr="00D4620C">
        <w:t>Comp</w:t>
      </w:r>
      <w:r w:rsidRPr="00D4620C">
        <w:t xml:space="preserve">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B7EF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4620C" w:rsidP="00D4620C"/>
    <w:sectPr w:rsidSect="00D462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0C" w:rsidRPr="00071B61" w:rsidP="00071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B61" w:rsidP="00D46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1B61" w:rsidP="00D46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1B61" w:rsidP="00D46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20C" w:rsidRPr="00071B61" w:rsidP="00071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B61" w:rsidRPr="002D2AF8" w:rsidP="00D46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PMBPROD430E Trial a new injection moulding die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71B61" w:rsidP="00D46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B01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40DD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20C"/>
  </w:style>
  <w:style w:type="character" w:customStyle="1" w:styleId="Heading1Char">
    <w:name w:val="Heading 1 Char"/>
    <w:basedOn w:val="DefaultParagraphFont"/>
    <w:link w:val="Heading1"/>
    <w:rsid w:val="00D46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2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20C"/>
    <w:rPr>
      <w:b/>
      <w:spacing w:val="0"/>
    </w:rPr>
  </w:style>
  <w:style w:type="character" w:styleId="Emphasis">
    <w:name w:val="Emphasis"/>
    <w:basedOn w:val="DefaultParagraphFont"/>
    <w:qFormat/>
    <w:rsid w:val="00D4620C"/>
    <w:rPr>
      <w:i/>
    </w:rPr>
  </w:style>
  <w:style w:type="paragraph" w:customStyle="1" w:styleId="SuperHeading">
    <w:name w:val="SuperHeading"/>
    <w:basedOn w:val="Normal"/>
    <w:rsid w:val="00D46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2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2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6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20C"/>
  </w:style>
  <w:style w:type="paragraph" w:styleId="TableofFigures">
    <w:name w:val="table of figures"/>
    <w:basedOn w:val="Normal"/>
    <w:next w:val="Normal"/>
    <w:semiHidden/>
    <w:rsid w:val="00D46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2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20C"/>
    <w:rPr>
      <w:rFonts w:ascii="Wingdings" w:hAnsi="Wingdings"/>
    </w:rPr>
  </w:style>
  <w:style w:type="paragraph" w:customStyle="1" w:styleId="TableHeading">
    <w:name w:val="Table Heading"/>
    <w:basedOn w:val="HeadingBase"/>
    <w:rsid w:val="00D46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20C"/>
    <w:rPr>
      <w:color w:val="0033CC"/>
      <w:u w:val="none"/>
    </w:rPr>
  </w:style>
  <w:style w:type="paragraph" w:customStyle="1" w:styleId="BodyTextRight">
    <w:name w:val="Body Text Right"/>
    <w:basedOn w:val="BodyText"/>
    <w:rsid w:val="00D46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2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20C"/>
    <w:rPr>
      <w:sz w:val="32"/>
    </w:rPr>
  </w:style>
  <w:style w:type="paragraph" w:customStyle="1" w:styleId="HeadingProcedure">
    <w:name w:val="Heading Procedure"/>
    <w:basedOn w:val="HeadingBase"/>
    <w:next w:val="Normal"/>
    <w:rsid w:val="00D46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20C"/>
    <w:pPr>
      <w:spacing w:before="60" w:after="60"/>
    </w:pPr>
  </w:style>
  <w:style w:type="paragraph" w:styleId="ListContinue">
    <w:name w:val="List Continue"/>
    <w:basedOn w:val="List"/>
    <w:rsid w:val="00D4620C"/>
    <w:pPr>
      <w:ind w:firstLine="0"/>
    </w:pPr>
  </w:style>
  <w:style w:type="paragraph" w:customStyle="1" w:styleId="ListNote">
    <w:name w:val="List Note"/>
    <w:basedOn w:val="List"/>
    <w:rsid w:val="00D46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20C"/>
    <w:rPr>
      <w:rFonts w:ascii="Courier New" w:hAnsi="Courier New"/>
    </w:rPr>
  </w:style>
  <w:style w:type="paragraph" w:customStyle="1" w:styleId="NoteBullet">
    <w:name w:val="Note Bullet"/>
    <w:basedOn w:val="Note"/>
    <w:rsid w:val="00D46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2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20C"/>
    <w:rPr>
      <w:b/>
      <w:smallCaps/>
    </w:rPr>
  </w:style>
  <w:style w:type="paragraph" w:customStyle="1" w:styleId="TableListNumber">
    <w:name w:val="Table List Number"/>
    <w:basedOn w:val="ListNumber"/>
    <w:rsid w:val="00D46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20C"/>
    <w:pPr>
      <w:numPr>
        <w:numId w:val="8"/>
      </w:numPr>
    </w:pPr>
  </w:style>
  <w:style w:type="paragraph" w:customStyle="1" w:styleId="ListAlpha2">
    <w:name w:val="List Alpha 2"/>
    <w:basedOn w:val="List2"/>
    <w:rsid w:val="00D4620C"/>
    <w:pPr>
      <w:numPr>
        <w:numId w:val="7"/>
      </w:numPr>
    </w:pPr>
  </w:style>
  <w:style w:type="paragraph" w:styleId="List2">
    <w:name w:val="List 2"/>
    <w:basedOn w:val="BodyText"/>
    <w:rsid w:val="00D46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2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2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20C"/>
    <w:pPr>
      <w:numPr>
        <w:numId w:val="3"/>
      </w:numPr>
    </w:pPr>
  </w:style>
  <w:style w:type="paragraph" w:styleId="ListContinue2">
    <w:name w:val="List Continue 2"/>
    <w:basedOn w:val="List2"/>
    <w:rsid w:val="00D4620C"/>
    <w:pPr>
      <w:ind w:firstLine="0"/>
    </w:pPr>
  </w:style>
  <w:style w:type="paragraph" w:styleId="ListContinue3">
    <w:name w:val="List Continue 3"/>
    <w:basedOn w:val="List3"/>
    <w:rsid w:val="00D4620C"/>
    <w:pPr>
      <w:ind w:left="1021" w:firstLine="0"/>
    </w:pPr>
  </w:style>
  <w:style w:type="paragraph" w:styleId="ListContinue4">
    <w:name w:val="List Continue 4"/>
    <w:basedOn w:val="List4"/>
    <w:rsid w:val="00D4620C"/>
    <w:pPr>
      <w:ind w:firstLine="0"/>
    </w:pPr>
  </w:style>
  <w:style w:type="paragraph" w:styleId="ListContinue5">
    <w:name w:val="List Continue 5"/>
    <w:basedOn w:val="List5"/>
    <w:rsid w:val="00D4620C"/>
    <w:pPr>
      <w:ind w:firstLine="0"/>
    </w:pPr>
  </w:style>
  <w:style w:type="paragraph" w:styleId="ListNumber3">
    <w:name w:val="List Number 3"/>
    <w:basedOn w:val="List3"/>
    <w:rsid w:val="00D4620C"/>
    <w:pPr>
      <w:numPr>
        <w:numId w:val="4"/>
      </w:numPr>
    </w:pPr>
  </w:style>
  <w:style w:type="paragraph" w:styleId="ListNumber4">
    <w:name w:val="List Number 4"/>
    <w:basedOn w:val="List4"/>
    <w:rsid w:val="00D4620C"/>
    <w:pPr>
      <w:numPr>
        <w:numId w:val="5"/>
      </w:numPr>
    </w:pPr>
  </w:style>
  <w:style w:type="paragraph" w:styleId="ListNumber5">
    <w:name w:val="List Number 5"/>
    <w:basedOn w:val="List5"/>
    <w:rsid w:val="00D4620C"/>
    <w:pPr>
      <w:numPr>
        <w:numId w:val="6"/>
      </w:numPr>
    </w:pPr>
  </w:style>
  <w:style w:type="paragraph" w:styleId="BlockText">
    <w:name w:val="Block Text"/>
    <w:basedOn w:val="Normal"/>
    <w:rsid w:val="00D46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20C"/>
    <w:rPr>
      <w:sz w:val="16"/>
      <w:vertAlign w:val="superscript"/>
    </w:rPr>
  </w:style>
  <w:style w:type="character" w:customStyle="1" w:styleId="Symbols">
    <w:name w:val="Symbols"/>
    <w:basedOn w:val="DefaultParagraphFont"/>
    <w:rsid w:val="00D4620C"/>
    <w:rPr>
      <w:rFonts w:ascii="Symbol" w:hAnsi="Symbol"/>
    </w:rPr>
  </w:style>
  <w:style w:type="character" w:customStyle="1" w:styleId="MenuOptions">
    <w:name w:val="Menu Options"/>
    <w:basedOn w:val="DefaultParagraphFont"/>
    <w:rsid w:val="00D46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20C"/>
    <w:rPr>
      <w:b/>
    </w:rPr>
  </w:style>
  <w:style w:type="character" w:customStyle="1" w:styleId="Underlined">
    <w:name w:val="Underlined"/>
    <w:basedOn w:val="DefaultParagraphFont"/>
    <w:rsid w:val="00D4620C"/>
    <w:rPr>
      <w:u w:val="single"/>
    </w:rPr>
  </w:style>
  <w:style w:type="paragraph" w:customStyle="1" w:styleId="TableBodyTextRight">
    <w:name w:val="Table Body Text Right"/>
    <w:basedOn w:val="TableBodyText"/>
    <w:rsid w:val="00D46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20C"/>
    <w:rPr>
      <w:sz w:val="18"/>
    </w:rPr>
  </w:style>
  <w:style w:type="paragraph" w:customStyle="1" w:styleId="BodySmallRight">
    <w:name w:val="Body Small Right"/>
    <w:basedOn w:val="BodyTextRight"/>
    <w:rsid w:val="00D4620C"/>
    <w:rPr>
      <w:sz w:val="18"/>
      <w:szCs w:val="18"/>
    </w:rPr>
  </w:style>
  <w:style w:type="paragraph" w:customStyle="1" w:styleId="MarginEdition">
    <w:name w:val="Margin Edition"/>
    <w:basedOn w:val="MarginNote"/>
    <w:rsid w:val="00D46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20C"/>
    <w:rPr>
      <w:sz w:val="2"/>
      <w:szCs w:val="2"/>
    </w:rPr>
  </w:style>
  <w:style w:type="character" w:customStyle="1" w:styleId="Small">
    <w:name w:val="Small"/>
    <w:basedOn w:val="DefaultParagraphFont"/>
    <w:rsid w:val="00D4620C"/>
    <w:rPr>
      <w:sz w:val="16"/>
    </w:rPr>
  </w:style>
  <w:style w:type="paragraph" w:customStyle="1" w:styleId="WideTable">
    <w:name w:val="Wide Table"/>
    <w:basedOn w:val="Normal"/>
    <w:rsid w:val="00D46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20C"/>
  </w:style>
  <w:style w:type="paragraph" w:styleId="Quote">
    <w:name w:val="Quote"/>
    <w:basedOn w:val="Heading1"/>
    <w:link w:val="QuoteChar"/>
    <w:qFormat/>
    <w:rsid w:val="00D46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20C"/>
    <w:pPr>
      <w:pageBreakBefore/>
    </w:pPr>
  </w:style>
  <w:style w:type="paragraph" w:customStyle="1" w:styleId="Border">
    <w:name w:val="Border"/>
    <w:basedOn w:val="Normal"/>
    <w:qFormat/>
    <w:rsid w:val="00D46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20C"/>
    <w:rPr>
      <w:u w:val="single"/>
    </w:rPr>
  </w:style>
  <w:style w:type="character" w:customStyle="1" w:styleId="BoldandItalics">
    <w:name w:val="Bold and Italics"/>
    <w:qFormat/>
    <w:rsid w:val="00D4620C"/>
    <w:rPr>
      <w:b/>
      <w:i/>
      <w:u w:val="none"/>
    </w:rPr>
  </w:style>
  <w:style w:type="paragraph" w:styleId="BalloonText">
    <w:name w:val="Balloon Text"/>
    <w:basedOn w:val="Normal"/>
    <w:link w:val="BalloonTextChar"/>
    <w:rsid w:val="00D46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20C"/>
    <w:pPr>
      <w:spacing w:before="0" w:after="0"/>
    </w:pPr>
  </w:style>
  <w:style w:type="paragraph" w:customStyle="1" w:styleId="BodyTextBold">
    <w:name w:val="Body Text Bold"/>
    <w:basedOn w:val="BodyText"/>
    <w:qFormat/>
    <w:rsid w:val="00D4620C"/>
    <w:rPr>
      <w:b/>
    </w:rPr>
  </w:style>
  <w:style w:type="character" w:styleId="Hyperlink">
    <w:name w:val="Hyperlink"/>
    <w:basedOn w:val="DefaultParagraphFont"/>
    <w:uiPriority w:val="99"/>
    <w:unhideWhenUsed/>
    <w:rsid w:val="00071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3638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PMBPROD430E Trial a new injection moulding die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