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4A7" w:rsidP="00AF2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PMBPROD343E Shut down plant area</w:t>
      </w:r>
      <w:r>
        <w:fldChar w:fldCharType="end"/>
      </w:r>
    </w:p>
    <w:p w:rsidR="00AF24A7" w:rsidP="00AF24A7">
      <w:pPr>
        <w:pStyle w:val="Version"/>
        <w:sectPr w:rsidSect="00002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598" w:rsidP="00002598">
      <w:pPr>
        <w:pStyle w:val="SuperHeading"/>
      </w:pPr>
      <w:r w:rsidRPr="00002598">
        <w:t>PMBPROD343E Shut down plant area</w:t>
      </w:r>
    </w:p>
    <w:p w:rsidR="00000000" w:rsidRPr="00002598" w:rsidP="00002598">
      <w:pPr>
        <w:pStyle w:val="Heading1"/>
      </w:pPr>
      <w:bookmarkStart w:id="1" w:name="O_1115180"/>
      <w:bookmarkEnd w:id="1"/>
      <w:r w:rsidRPr="00002598">
        <w:t>Modification History</w:t>
      </w:r>
    </w:p>
    <w:p w:rsidR="00000000" w:rsidRPr="00002598" w:rsidP="00AF24A7">
      <w:pPr>
        <w:pStyle w:val="BodyText"/>
      </w:pPr>
      <w:r w:rsidRPr="00002598">
        <w:t>Release 1. Unit code changed. Application changed. Elements and Performance Criteria changed. Range of Conditions removed. Assessment Requirements changed. Supersedes and is equivalent to PMBPROD343 Shut down plant area.</w:t>
      </w:r>
    </w:p>
    <w:p w:rsidR="00000000" w:rsidRPr="00002598" w:rsidP="00002598">
      <w:pPr>
        <w:pStyle w:val="Heading1"/>
      </w:pPr>
      <w:bookmarkStart w:id="2" w:name="O_1115181"/>
      <w:bookmarkEnd w:id="2"/>
      <w:r w:rsidRPr="00002598">
        <w:t>Application</w:t>
      </w:r>
    </w:p>
    <w:p w:rsidR="00000000" w:rsidRPr="00002598" w:rsidP="00AF24A7">
      <w:pPr>
        <w:pStyle w:val="BodyText"/>
      </w:pPr>
      <w:r w:rsidRPr="00002598">
        <w:t>This unit describes the skills and knowledge required to shut down a plant area or production line, typically performed at the end of a production run or when maintenance is required.</w:t>
      </w:r>
    </w:p>
    <w:p w:rsidR="00000000" w:rsidRPr="00002598" w:rsidP="00AF24A7">
      <w:pPr>
        <w:pStyle w:val="BodyText"/>
      </w:pPr>
      <w:r w:rsidRPr="00002598">
        <w:t xml:space="preserve">This unit applies to an experienced technician working </w:t>
      </w:r>
      <w:r w:rsidRPr="00002598">
        <w:t>alone or as part of a team.</w:t>
      </w:r>
    </w:p>
    <w:p w:rsidR="00000000" w:rsidRPr="00002598" w:rsidP="00AF24A7">
      <w:pPr>
        <w:pStyle w:val="BodyText"/>
      </w:pPr>
      <w:r w:rsidRPr="00002598">
        <w:t>The unit principally refers to polymer processing operations that involve multiple machinery units and automated controls and can require a formalised shutdown with application of specialised processing knowledge.</w:t>
      </w:r>
    </w:p>
    <w:p w:rsidR="00000000" w:rsidRPr="00002598" w:rsidP="00AF24A7">
      <w:pPr>
        <w:pStyle w:val="BodyText"/>
      </w:pPr>
      <w:r w:rsidRPr="00002598">
        <w:t>No licensing o</w:t>
      </w:r>
      <w:r w:rsidRPr="00002598">
        <w:t>r certification requirements exist at the time of publication. Relevant legislation, industry standards and codes of practice within Australia must be applied.</w:t>
      </w:r>
    </w:p>
    <w:p w:rsidR="00000000" w:rsidRPr="00002598" w:rsidP="00002598">
      <w:pPr>
        <w:pStyle w:val="Heading1"/>
      </w:pPr>
      <w:bookmarkStart w:id="3" w:name="O_1115182"/>
      <w:bookmarkEnd w:id="3"/>
      <w:r w:rsidRPr="00002598">
        <w:t>Pre-requisite Unit</w:t>
      </w:r>
    </w:p>
    <w:p w:rsidR="00000000" w:rsidRPr="00002598" w:rsidP="00AF24A7">
      <w:pPr>
        <w:pStyle w:val="BodyText"/>
      </w:pPr>
      <w:r w:rsidRPr="00002598">
        <w:t>Nil.</w:t>
      </w:r>
    </w:p>
    <w:p w:rsidR="00000000" w:rsidRPr="00002598" w:rsidP="00002598">
      <w:pPr>
        <w:pStyle w:val="Heading1"/>
      </w:pPr>
      <w:bookmarkStart w:id="4" w:name="O_1115183"/>
      <w:bookmarkEnd w:id="4"/>
      <w:r w:rsidRPr="00002598">
        <w:t>Competency Field</w:t>
      </w:r>
    </w:p>
    <w:p w:rsidR="00000000" w:rsidRPr="00002598" w:rsidP="00AF24A7">
      <w:pPr>
        <w:pStyle w:val="BodyText"/>
      </w:pPr>
      <w:r w:rsidRPr="00002598">
        <w:t>Production – Extr</w:t>
      </w:r>
      <w:r w:rsidRPr="00002598">
        <w:t>usion, Injection Moulding, Rotational Moulding</w:t>
      </w:r>
    </w:p>
    <w:p w:rsidR="00000000" w:rsidRPr="00002598" w:rsidP="00002598">
      <w:pPr>
        <w:pStyle w:val="Heading1"/>
      </w:pPr>
      <w:bookmarkStart w:id="5" w:name="O_1115185"/>
      <w:bookmarkEnd w:id="5"/>
      <w:r w:rsidRPr="0000259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0259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598" w:rsidP="00002598">
            <w:pPr>
              <w:pStyle w:val="BodyText"/>
            </w:pPr>
            <w:r w:rsidRPr="00002598">
              <w:rPr>
                <w:rStyle w:val="SpecialBold"/>
              </w:rPr>
              <w:t>Elements</w:t>
            </w:r>
          </w:p>
          <w:p w:rsidR="00000000" w:rsidRPr="00002598" w:rsidP="00002598">
            <w:pPr>
              <w:pStyle w:val="BodyText"/>
            </w:pPr>
            <w:r w:rsidRPr="0000259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598" w:rsidP="00002598">
            <w:pPr>
              <w:pStyle w:val="BodyText"/>
            </w:pPr>
            <w:r w:rsidRPr="00002598">
              <w:rPr>
                <w:rStyle w:val="SpecialBold"/>
              </w:rPr>
              <w:t>Performance Criteria</w:t>
            </w:r>
          </w:p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>Performance criteria describe the performance needed to demonstrate achievement of t</w:t>
            </w:r>
            <w:r w:rsidRPr="00002598">
              <w:t>he element.</w:t>
            </w:r>
          </w:p>
        </w:tc>
      </w:tr>
      <w:tr w:rsidTr="0000259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>1. Process request for plant or production line shutdown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598" w:rsidP="00002598">
            <w:pPr>
              <w:pStyle w:val="BodyText"/>
            </w:pPr>
            <w:r w:rsidRPr="00002598">
              <w:t>1.1 Identify type of and reason for shutdown request</w:t>
            </w:r>
          </w:p>
          <w:p w:rsidR="00000000" w:rsidRPr="00002598" w:rsidP="00002598">
            <w:pPr>
              <w:pStyle w:val="BodyText"/>
            </w:pPr>
            <w:r w:rsidRPr="00002598">
              <w:t>1.2 Assess impact of shutdown on production capabilities and adjust production plans to reflect those impacts</w:t>
            </w:r>
          </w:p>
          <w:p w:rsidR="00000000" w:rsidRPr="00002598" w:rsidP="00002598">
            <w:pPr>
              <w:pStyle w:val="BodyText"/>
            </w:pPr>
            <w:r w:rsidRPr="00002598">
              <w:t xml:space="preserve">1.3 Communicate plan for shutdown with relevant personnel </w:t>
            </w:r>
          </w:p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>1.4 Plan shutdown process according to type of shutdown and workplace shutdown procedures</w:t>
            </w:r>
          </w:p>
        </w:tc>
      </w:tr>
      <w:tr w:rsidTr="0000259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 xml:space="preserve">2. Confirm shutdown of </w:t>
            </w:r>
            <w:r w:rsidRPr="00002598">
              <w:t xml:space="preserve">equipment or work area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598" w:rsidP="00002598">
            <w:pPr>
              <w:pStyle w:val="BodyText"/>
            </w:pPr>
            <w:r w:rsidRPr="00002598">
              <w:t>2.1 Identify specific plant and equipment affected by shutd</w:t>
            </w:r>
            <w:r w:rsidRPr="00002598">
              <w:t xml:space="preserve">own and </w:t>
            </w:r>
            <w:r w:rsidRPr="00002598">
              <w:t>ensure no further raw materials are provided</w:t>
            </w:r>
          </w:p>
          <w:p w:rsidR="00000000" w:rsidRPr="00002598" w:rsidP="00002598">
            <w:pPr>
              <w:pStyle w:val="BodyText"/>
            </w:pPr>
            <w:r w:rsidRPr="00002598">
              <w:t xml:space="preserve">2.2 Ensure equipment and site are cleaned up with all waste removed for recycling or disposal </w:t>
            </w:r>
          </w:p>
          <w:p w:rsidR="00000000" w:rsidRPr="00002598" w:rsidP="00002598">
            <w:pPr>
              <w:pStyle w:val="BodyText"/>
            </w:pPr>
            <w:r w:rsidRPr="00002598">
              <w:t xml:space="preserve">2.3 Tag or isolate equipment, and advise relevant personnel that equipment or area is offline </w:t>
            </w:r>
          </w:p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>2.4 Supervise</w:t>
            </w:r>
            <w:r w:rsidRPr="00002598">
              <w:t xml:space="preserve"> personnel in equipment shutdown procedures </w:t>
            </w:r>
          </w:p>
        </w:tc>
      </w:tr>
      <w:tr w:rsidTr="0000259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 xml:space="preserve">3. Prepare equipment for idle period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598" w:rsidP="00002598">
            <w:pPr>
              <w:pStyle w:val="BodyText"/>
            </w:pPr>
            <w:r w:rsidRPr="00002598">
              <w:t>3.1 Ensure suitable guards, locks, tags or notices are placed on equipment in clear view to prevent inadvertent startup</w:t>
            </w:r>
          </w:p>
          <w:p w:rsidR="00000000" w:rsidRPr="00002598" w:rsidP="00002598">
            <w:pPr>
              <w:pStyle w:val="BodyText"/>
            </w:pPr>
            <w:r w:rsidRPr="00002598">
              <w:t>3.2 Ensure any adjustments, control alterations, lub</w:t>
            </w:r>
            <w:r w:rsidRPr="00002598">
              <w:t xml:space="preserve">rication or application of corrosion inhibitors are undertaken by appropriate personnel </w:t>
            </w:r>
          </w:p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>3.3 Arrange for appropriate coverage of equipment and security of area based on duration of idleness</w:t>
            </w:r>
          </w:p>
        </w:tc>
      </w:tr>
      <w:tr w:rsidTr="0000259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>4. Complete workplace documentation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598" w:rsidP="00002598">
            <w:pPr>
              <w:pStyle w:val="BodyText"/>
            </w:pPr>
            <w:r w:rsidRPr="00002598">
              <w:t>4.1 Complete relevant documentation, detailing nature of shutdown activity, dates and equipment that has been taken out of service</w:t>
            </w:r>
          </w:p>
          <w:p w:rsidR="00000000" w:rsidRPr="00002598" w:rsidP="00002598">
            <w:pPr>
              <w:pStyle w:val="BodyText"/>
            </w:pPr>
            <w:r w:rsidRPr="00002598">
              <w:t xml:space="preserve">4.2 Advise management of shutdown procedure outcomes </w:t>
            </w:r>
          </w:p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 xml:space="preserve">4.3 Complete required regulatory documentation and obtain any required </w:t>
            </w:r>
            <w:r w:rsidRPr="00002598">
              <w:t>external certification</w:t>
            </w:r>
          </w:p>
        </w:tc>
      </w:tr>
      <w:tr w:rsidTr="0000259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598">
            <w:pPr>
              <w:pStyle w:val="BodyText"/>
              <w:rPr>
                <w:lang w:val="en-NZ"/>
              </w:rPr>
            </w:pPr>
            <w:r w:rsidRPr="00002598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598" w:rsidP="00002598">
            <w:pPr>
              <w:pStyle w:val="BodyText"/>
            </w:pPr>
            <w:r w:rsidRPr="00002598">
              <w:t>5.1 Recognise existing or potential process control variances and their causes</w:t>
            </w:r>
          </w:p>
          <w:p w:rsidR="00000000" w:rsidRPr="00002598" w:rsidP="00002598">
            <w:pPr>
              <w:pStyle w:val="BodyText"/>
            </w:pPr>
            <w:r w:rsidRPr="00002598">
              <w:t>5.2 Determine, prioritise and implement remedial and preventative actions based on identified issues an</w:t>
            </w:r>
            <w:r w:rsidRPr="00002598">
              <w:t>d causes</w:t>
            </w:r>
          </w:p>
          <w:p w:rsidR="00000000" w:rsidRPr="00002598" w:rsidP="00002598">
            <w:pPr>
              <w:pStyle w:val="BodyText"/>
            </w:pPr>
            <w:r w:rsidRPr="00002598">
              <w:t>5.3 Monitor process control variances and corrective actions taken until resolved</w:t>
            </w:r>
          </w:p>
          <w:p w:rsidR="00000000" w:rsidRPr="00002598" w:rsidP="00002598">
            <w:pPr>
              <w:pStyle w:val="BodyText"/>
            </w:pPr>
            <w:r w:rsidRPr="00002598">
              <w:t>5.4 Accurately complete records and logbooks</w:t>
            </w:r>
          </w:p>
        </w:tc>
      </w:tr>
    </w:tbl>
    <w:p w:rsidR="00000000" w:rsidRPr="00002598" w:rsidP="00002598">
      <w:pPr>
        <w:pStyle w:val="BodyText"/>
      </w:pPr>
    </w:p>
    <w:p w:rsidR="00000000" w:rsidRPr="00002598" w:rsidP="00002598">
      <w:pPr>
        <w:pStyle w:val="AllowPageBreak"/>
      </w:pPr>
    </w:p>
    <w:p w:rsidR="00000000" w:rsidRPr="00002598" w:rsidP="00002598">
      <w:pPr>
        <w:pStyle w:val="Heading1"/>
      </w:pPr>
      <w:bookmarkStart w:id="6" w:name="O_1115186"/>
      <w:bookmarkEnd w:id="6"/>
      <w:r w:rsidRPr="00002598">
        <w:t>Foundation Skills</w:t>
      </w:r>
    </w:p>
    <w:p w:rsidR="00000000" w:rsidRPr="00002598" w:rsidP="00AF24A7">
      <w:pPr>
        <w:pStyle w:val="BodyText"/>
      </w:pPr>
      <w:r w:rsidRPr="00002598">
        <w:t>This section describes those language, literacy, numeracy and employment skills t</w:t>
      </w:r>
      <w:r w:rsidRPr="00002598">
        <w:t xml:space="preserve">hat are essential to performance. </w:t>
      </w:r>
    </w:p>
    <w:p w:rsidR="00000000" w:rsidRPr="00002598" w:rsidP="00002598">
      <w:pPr>
        <w:pStyle w:val="ListBullet"/>
      </w:pPr>
      <w:r w:rsidRPr="00002598">
        <w:t>Numeracy skills to interpret technical information and equipment readings.</w:t>
      </w:r>
    </w:p>
    <w:p w:rsidR="00000000" w:rsidRPr="00002598" w:rsidP="00002598">
      <w:pPr>
        <w:pStyle w:val="ListBullet"/>
      </w:pPr>
      <w:r w:rsidRPr="00002598">
        <w:t>Reading skills to interpret specifications and workplace procedures.</w:t>
      </w:r>
    </w:p>
    <w:p w:rsidR="00000000" w:rsidRPr="00002598" w:rsidP="00002598">
      <w:pPr>
        <w:pStyle w:val="ListBullet"/>
      </w:pPr>
      <w:r w:rsidRPr="00002598">
        <w:t>Writing and oral communication skills to communicate shutdown processes with personnel, and report and record outcomes to supervisors.</w:t>
      </w:r>
    </w:p>
    <w:p w:rsidR="00000000" w:rsidRPr="00AF24A7" w:rsidP="00AF24A7">
      <w:pPr>
        <w:pStyle w:val="BodyText"/>
        <w:rPr>
          <w:i/>
        </w:rPr>
      </w:pPr>
      <w:r w:rsidRPr="00AF24A7">
        <w:rPr>
          <w:rStyle w:val="Emphasis"/>
        </w:rPr>
        <w:t>Other foundation skills essential to performance are explicit in the performance criteria of this unit of competency.</w:t>
      </w:r>
    </w:p>
    <w:p w:rsidR="00000000" w:rsidRPr="00002598" w:rsidP="00002598">
      <w:pPr>
        <w:pStyle w:val="Heading1"/>
      </w:pPr>
      <w:bookmarkStart w:id="7" w:name="O_1115188"/>
      <w:bookmarkEnd w:id="7"/>
      <w:r w:rsidRPr="00002598">
        <w:t>Unit Mapping Information</w:t>
      </w:r>
    </w:p>
    <w:p w:rsidR="00000000" w:rsidRPr="00002598" w:rsidP="00AF24A7">
      <w:pPr>
        <w:pStyle w:val="BodyText"/>
      </w:pPr>
      <w:r w:rsidRPr="00002598">
        <w:t>Supersedes and is equivalent to PMBPROD343 Shut down plant area.</w:t>
      </w:r>
    </w:p>
    <w:p w:rsidR="00000000" w:rsidRPr="00002598" w:rsidP="00002598">
      <w:pPr>
        <w:pStyle w:val="Heading1"/>
      </w:pPr>
      <w:bookmarkStart w:id="8" w:name="O_1115195"/>
      <w:bookmarkEnd w:id="8"/>
      <w:r w:rsidRPr="00002598">
        <w:t>Links</w:t>
      </w:r>
    </w:p>
    <w:p w:rsidR="00000000" w:rsidRPr="00002598" w:rsidP="00AF24A7">
      <w:pPr>
        <w:pStyle w:val="BodyText"/>
      </w:pPr>
      <w:r w:rsidRPr="0000259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2672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02598" w:rsidP="00AF24A7">
      <w:pPr>
        <w:pStyle w:val="BodyText"/>
        <w:sectPr w:rsidSect="000025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2598" w:rsidP="00002598">
      <w:pPr>
        <w:pStyle w:val="SuperHeading"/>
      </w:pPr>
      <w:r w:rsidRPr="00002598">
        <w:t>Assessment Requirements for PMBPROD343E Shut down plant area</w:t>
      </w:r>
    </w:p>
    <w:p w:rsidR="00000000" w:rsidRPr="00002598" w:rsidP="00002598">
      <w:pPr>
        <w:pStyle w:val="Heading1"/>
      </w:pPr>
      <w:bookmarkStart w:id="9" w:name="O_1115190"/>
      <w:bookmarkEnd w:id="9"/>
      <w:r w:rsidRPr="00002598">
        <w:t>Modification History</w:t>
      </w:r>
    </w:p>
    <w:p w:rsidR="00000000" w:rsidRPr="00002598" w:rsidP="00AF24A7">
      <w:pPr>
        <w:pStyle w:val="BodyText"/>
      </w:pPr>
      <w:r w:rsidRPr="00002598">
        <w:t>Release 1. Unit code changed. Application changed. Elements and Performance Criteria c</w:t>
      </w:r>
      <w:r w:rsidRPr="00002598">
        <w:t>hanged. Range of Conditions removed. Assessment Requirements changed. Supersedes and is equivalent to PMBPROD343 Shut down plant area.</w:t>
      </w:r>
    </w:p>
    <w:p w:rsidR="00000000" w:rsidRPr="00002598" w:rsidP="00002598">
      <w:pPr>
        <w:pStyle w:val="Heading1"/>
      </w:pPr>
      <w:bookmarkStart w:id="10" w:name="O_1115191"/>
      <w:bookmarkEnd w:id="10"/>
      <w:r w:rsidRPr="00002598">
        <w:t>Performance Evidence</w:t>
      </w:r>
    </w:p>
    <w:p w:rsidR="00000000" w:rsidRPr="00002598" w:rsidP="00AF24A7">
      <w:pPr>
        <w:pStyle w:val="BodyText"/>
      </w:pPr>
      <w:r w:rsidRPr="00002598">
        <w:t>There must be evidence the candidate has completed the tasks outlined in the elem</w:t>
      </w:r>
      <w:r w:rsidRPr="00002598">
        <w:t>ents and performance criteria of this unit, and demonstrated the ability to:</w:t>
      </w:r>
    </w:p>
    <w:p w:rsidR="00000000" w:rsidRPr="00002598" w:rsidP="00002598">
      <w:pPr>
        <w:pStyle w:val="ListBullet"/>
      </w:pPr>
      <w:r w:rsidRPr="00002598">
        <w:t>shut down a plant area at least once, either for maintenance or at the end of a production run.</w:t>
      </w:r>
    </w:p>
    <w:p w:rsidR="00000000" w:rsidRPr="00002598" w:rsidP="00002598">
      <w:pPr>
        <w:pStyle w:val="AllowPageBreak"/>
      </w:pPr>
    </w:p>
    <w:p w:rsidR="00000000" w:rsidRPr="00002598" w:rsidP="00002598">
      <w:pPr>
        <w:pStyle w:val="Heading1"/>
      </w:pPr>
      <w:bookmarkStart w:id="11" w:name="O_1115192"/>
      <w:bookmarkEnd w:id="11"/>
      <w:r w:rsidRPr="00002598">
        <w:t>Knowledge Evidence</w:t>
      </w:r>
    </w:p>
    <w:p w:rsidR="00000000" w:rsidRPr="00002598" w:rsidP="00AF24A7">
      <w:pPr>
        <w:pStyle w:val="BodyText"/>
      </w:pPr>
      <w:r w:rsidRPr="00002598">
        <w:t>There must be evidence the candidate has knowledge of:</w:t>
      </w:r>
    </w:p>
    <w:p w:rsidR="00000000" w:rsidRPr="00002598" w:rsidP="00002598">
      <w:pPr>
        <w:pStyle w:val="ListBullet"/>
      </w:pPr>
      <w:r w:rsidRPr="00002598">
        <w:t xml:space="preserve">the structure, functions and principles of operation of equipment, machine components and ancillary equipment </w:t>
      </w:r>
    </w:p>
    <w:p w:rsidR="00000000" w:rsidRPr="00002598" w:rsidP="00002598">
      <w:pPr>
        <w:pStyle w:val="ListBullet"/>
      </w:pPr>
      <w:r w:rsidRPr="00002598">
        <w:t>the nature of mechanical, hydraulic, pneumatic, electrical and electronic principles that</w:t>
      </w:r>
      <w:r w:rsidRPr="00002598">
        <w:t xml:space="preserve"> affect machine operation</w:t>
      </w:r>
    </w:p>
    <w:p w:rsidR="00000000" w:rsidRPr="00002598" w:rsidP="00002598">
      <w:pPr>
        <w:pStyle w:val="ListBullet"/>
      </w:pPr>
      <w:r w:rsidRPr="00002598">
        <w:t>the impact of variations in production cycle, process and sequences on shutdown of equipment systems</w:t>
      </w:r>
    </w:p>
    <w:p w:rsidR="00000000" w:rsidRPr="00002598" w:rsidP="00002598">
      <w:pPr>
        <w:pStyle w:val="ListBullet"/>
      </w:pPr>
      <w:r w:rsidRPr="00002598">
        <w:t>functions and applications of analogue controls, digital controls, and microprocessor-based process controls</w:t>
      </w:r>
    </w:p>
    <w:p w:rsidR="00000000" w:rsidRPr="00002598" w:rsidP="00002598">
      <w:pPr>
        <w:pStyle w:val="ListBullet"/>
      </w:pPr>
      <w:r w:rsidRPr="00002598">
        <w:t>functions of and rea</w:t>
      </w:r>
      <w:r w:rsidRPr="00002598">
        <w:t>dings from polymer processing machinery, including:</w:t>
      </w:r>
    </w:p>
    <w:p w:rsidR="00000000" w:rsidRPr="00002598" w:rsidP="00002598">
      <w:pPr>
        <w:pStyle w:val="ListBullet2"/>
      </w:pPr>
      <w:r w:rsidRPr="00002598">
        <w:t xml:space="preserve">levelling </w:t>
      </w:r>
    </w:p>
    <w:p w:rsidR="00000000" w:rsidRPr="00002598" w:rsidP="00002598">
      <w:pPr>
        <w:pStyle w:val="ListBullet2"/>
      </w:pPr>
      <w:r w:rsidRPr="00002598">
        <w:t>thermocouples</w:t>
      </w:r>
    </w:p>
    <w:p w:rsidR="00000000" w:rsidRPr="00002598" w:rsidP="00002598">
      <w:pPr>
        <w:pStyle w:val="ListBullet2"/>
      </w:pPr>
      <w:r w:rsidRPr="00002598">
        <w:t>pyrometers</w:t>
      </w:r>
    </w:p>
    <w:p w:rsidR="00000000" w:rsidRPr="00002598" w:rsidP="00002598">
      <w:pPr>
        <w:pStyle w:val="ListBullet2"/>
      </w:pPr>
      <w:r w:rsidRPr="00002598">
        <w:t>transducers</w:t>
      </w:r>
    </w:p>
    <w:p w:rsidR="00000000" w:rsidRPr="00002598" w:rsidP="00002598">
      <w:pPr>
        <w:pStyle w:val="ListBullet2"/>
      </w:pPr>
      <w:r w:rsidRPr="00002598">
        <w:t xml:space="preserve">thermometers </w:t>
      </w:r>
    </w:p>
    <w:p w:rsidR="00000000" w:rsidRPr="00002598" w:rsidP="00002598">
      <w:pPr>
        <w:pStyle w:val="ListBullet2"/>
      </w:pPr>
      <w:r w:rsidRPr="00002598">
        <w:t>pressure gauges</w:t>
      </w:r>
    </w:p>
    <w:p w:rsidR="00000000" w:rsidRPr="00002598" w:rsidP="00002598">
      <w:pPr>
        <w:pStyle w:val="ListBullet2"/>
      </w:pPr>
      <w:r w:rsidRPr="00002598">
        <w:t xml:space="preserve">vacuum gauges </w:t>
      </w:r>
    </w:p>
    <w:p w:rsidR="00000000" w:rsidRPr="00002598" w:rsidP="00002598">
      <w:pPr>
        <w:pStyle w:val="ListBullet2"/>
      </w:pPr>
      <w:r w:rsidRPr="00002598">
        <w:t>flow meters</w:t>
      </w:r>
    </w:p>
    <w:p w:rsidR="00000000" w:rsidRPr="00002598" w:rsidP="00002598">
      <w:pPr>
        <w:pStyle w:val="ListBullet"/>
      </w:pPr>
      <w:r w:rsidRPr="00002598">
        <w:t>purpose and operation of safety interlocks and systems in the process, including:</w:t>
      </w:r>
    </w:p>
    <w:p w:rsidR="00000000" w:rsidRPr="00002598" w:rsidP="00002598">
      <w:pPr>
        <w:pStyle w:val="ListBullet2"/>
      </w:pPr>
      <w:r w:rsidRPr="00002598">
        <w:t xml:space="preserve">limit switches </w:t>
      </w:r>
    </w:p>
    <w:p w:rsidR="00000000" w:rsidRPr="00002598" w:rsidP="00002598">
      <w:pPr>
        <w:pStyle w:val="ListBullet2"/>
      </w:pPr>
      <w:r w:rsidRPr="00002598">
        <w:t xml:space="preserve">normally open/normally closed </w:t>
      </w:r>
    </w:p>
    <w:p w:rsidR="00000000" w:rsidRPr="00002598" w:rsidP="00002598">
      <w:pPr>
        <w:pStyle w:val="ListBullet2"/>
      </w:pPr>
      <w:r w:rsidRPr="00002598">
        <w:t xml:space="preserve">overstroke control systems </w:t>
      </w:r>
    </w:p>
    <w:p w:rsidR="00000000" w:rsidRPr="00002598" w:rsidP="00002598">
      <w:pPr>
        <w:pStyle w:val="ListBullet2"/>
      </w:pPr>
      <w:r w:rsidRPr="00002598">
        <w:t xml:space="preserve">hydraulic temperature control </w:t>
      </w:r>
    </w:p>
    <w:p w:rsidR="00000000" w:rsidRPr="00002598" w:rsidP="00002598">
      <w:pPr>
        <w:pStyle w:val="ListBullet2"/>
      </w:pPr>
      <w:r w:rsidRPr="00002598">
        <w:t xml:space="preserve">material temperature control </w:t>
      </w:r>
    </w:p>
    <w:p w:rsidR="00000000" w:rsidRPr="00002598" w:rsidP="00002598">
      <w:pPr>
        <w:pStyle w:val="ListBullet2"/>
      </w:pPr>
      <w:r w:rsidRPr="00002598">
        <w:t xml:space="preserve">machine guards </w:t>
      </w:r>
    </w:p>
    <w:p w:rsidR="00000000" w:rsidRPr="00002598" w:rsidP="00002598">
      <w:pPr>
        <w:pStyle w:val="ListBullet2"/>
      </w:pPr>
      <w:r w:rsidRPr="00002598">
        <w:t xml:space="preserve">nozzle purge guard </w:t>
      </w:r>
    </w:p>
    <w:p w:rsidR="00000000" w:rsidRPr="00002598" w:rsidP="00002598">
      <w:pPr>
        <w:pStyle w:val="ListBullet2"/>
      </w:pPr>
      <w:r w:rsidRPr="00002598">
        <w:t xml:space="preserve">mould protection systems </w:t>
      </w:r>
    </w:p>
    <w:p w:rsidR="00000000" w:rsidRPr="00002598" w:rsidP="00002598">
      <w:pPr>
        <w:pStyle w:val="ListBullet2"/>
      </w:pPr>
      <w:r w:rsidRPr="00002598">
        <w:t>ejection limit switches</w:t>
      </w:r>
    </w:p>
    <w:p w:rsidR="00000000" w:rsidRPr="00002598" w:rsidP="00002598">
      <w:pPr>
        <w:pStyle w:val="ListBullet"/>
      </w:pPr>
      <w:r w:rsidRPr="00002598">
        <w:t>organisational procedures relevant to the work environment or job role</w:t>
      </w:r>
    </w:p>
    <w:p w:rsidR="00000000" w:rsidRPr="00002598" w:rsidP="00002598">
      <w:pPr>
        <w:pStyle w:val="ListBullet"/>
      </w:pPr>
      <w:r w:rsidRPr="00002598">
        <w:t>hazards that may arise in the job or work environment, and:</w:t>
      </w:r>
    </w:p>
    <w:p w:rsidR="00000000" w:rsidRPr="00002598" w:rsidP="00002598">
      <w:pPr>
        <w:pStyle w:val="ListBullet2"/>
      </w:pPr>
      <w:r w:rsidRPr="00002598">
        <w:t>their possible causes</w:t>
      </w:r>
    </w:p>
    <w:p w:rsidR="00000000" w:rsidRPr="00002598" w:rsidP="00002598">
      <w:pPr>
        <w:pStyle w:val="ListBullet2"/>
      </w:pPr>
      <w:r w:rsidRPr="00002598">
        <w:t>potential consequences</w:t>
      </w:r>
    </w:p>
    <w:p w:rsidR="00000000" w:rsidRPr="00002598" w:rsidP="00002598">
      <w:pPr>
        <w:pStyle w:val="ListBullet2"/>
      </w:pPr>
      <w:r w:rsidRPr="00002598">
        <w:t>appropriate risk controls.</w:t>
      </w:r>
    </w:p>
    <w:p w:rsidR="00000000" w:rsidRPr="00002598" w:rsidP="00002598">
      <w:pPr>
        <w:pStyle w:val="AllowPageBreak"/>
      </w:pPr>
    </w:p>
    <w:p w:rsidR="00000000" w:rsidRPr="00002598" w:rsidP="00002598">
      <w:pPr>
        <w:pStyle w:val="Heading1"/>
      </w:pPr>
      <w:bookmarkStart w:id="12" w:name="O_1115193"/>
      <w:bookmarkEnd w:id="12"/>
      <w:r w:rsidRPr="00002598">
        <w:t>Assessment Conditions</w:t>
      </w:r>
    </w:p>
    <w:p w:rsidR="00000000" w:rsidRPr="00002598" w:rsidP="00AF24A7">
      <w:pPr>
        <w:pStyle w:val="BodyText"/>
      </w:pPr>
      <w:r w:rsidRPr="00002598">
        <w:t xml:space="preserve">Skills must have been demonstrated in the workplace or in a simulated environment that reflects workplace conditions and contingencies. </w:t>
      </w:r>
    </w:p>
    <w:p w:rsidR="00000000" w:rsidRPr="00002598" w:rsidP="00AF24A7">
      <w:pPr>
        <w:pStyle w:val="BodyText"/>
      </w:pPr>
      <w:r w:rsidRPr="00002598">
        <w:t>Assessors must satisfy the NVR/AQTF mandatory competency requirements for assessors.</w:t>
      </w:r>
    </w:p>
    <w:p w:rsidR="00000000" w:rsidRPr="00002598" w:rsidP="00002598">
      <w:pPr>
        <w:pStyle w:val="Heading1"/>
      </w:pPr>
      <w:bookmarkStart w:id="13" w:name="O_1115196"/>
      <w:bookmarkEnd w:id="13"/>
      <w:r w:rsidRPr="00002598">
        <w:t>Links</w:t>
      </w:r>
    </w:p>
    <w:p w:rsidR="00000000" w:rsidRPr="00002598" w:rsidP="00AF24A7">
      <w:pPr>
        <w:pStyle w:val="BodyText"/>
      </w:pPr>
      <w:r w:rsidRPr="0000259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2672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02598" w:rsidP="00002598"/>
    <w:sectPr w:rsidSect="000025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98" w:rsidRPr="00AF24A7" w:rsidP="00AF2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A7" w:rsidP="00002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4A7" w:rsidP="00002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F24A7" w:rsidP="000025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98" w:rsidP="00002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24A7">
      <w:t>Approved</w:t>
    </w:r>
    <w:r w:rsidR="00AF24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24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24A7">
      <w:rPr>
        <w:noProof/>
      </w:rPr>
      <w:t>4</w:t>
    </w:r>
    <w:r>
      <w:rPr>
        <w:noProof/>
      </w:rPr>
      <w:fldChar w:fldCharType="end"/>
    </w:r>
  </w:p>
  <w:p w:rsidR="00002598" w:rsidP="00002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24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24A7">
      <w:t>Manufacturing Industry Skills Alliance</w:t>
    </w:r>
    <w:r w:rsidR="00AF24A7">
      <w:fldChar w:fldCharType="end"/>
    </w:r>
  </w:p>
  <w:p w:rsidR="00002598" w:rsidP="00002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598" w:rsidRPr="00AF24A7" w:rsidP="00AF2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A7" w:rsidRPr="002D2AF8" w:rsidP="00002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PMBPROD343E Shut down plant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24A7" w:rsidP="000025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598" w:rsidRPr="002D2AF8" w:rsidP="00002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24A7">
      <w:t>PMBPROD343E Shut down plant area</w:t>
    </w:r>
    <w:r w:rsidR="00AF24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24A7">
      <w:rPr>
        <w:noProof/>
      </w:rPr>
      <w:t>2 March 2025</w:t>
    </w:r>
    <w:r>
      <w:fldChar w:fldCharType="end"/>
    </w:r>
  </w:p>
  <w:p w:rsidR="00002598" w:rsidP="00002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6CF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01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E3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598"/>
  </w:style>
  <w:style w:type="character" w:customStyle="1" w:styleId="Heading1Char">
    <w:name w:val="Heading 1 Char"/>
    <w:basedOn w:val="DefaultParagraphFont"/>
    <w:link w:val="Heading1"/>
    <w:rsid w:val="00002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5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598"/>
    <w:rPr>
      <w:b/>
      <w:spacing w:val="0"/>
    </w:rPr>
  </w:style>
  <w:style w:type="paragraph" w:styleId="ListBullet2">
    <w:name w:val="List Bullet 2"/>
    <w:basedOn w:val="List2"/>
    <w:rsid w:val="000025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2598"/>
    <w:rPr>
      <w:i/>
    </w:rPr>
  </w:style>
  <w:style w:type="paragraph" w:customStyle="1" w:styleId="SuperHeading">
    <w:name w:val="SuperHeading"/>
    <w:basedOn w:val="Normal"/>
    <w:rsid w:val="00002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5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598"/>
  </w:style>
  <w:style w:type="paragraph" w:styleId="TableofFigures">
    <w:name w:val="table of figures"/>
    <w:basedOn w:val="Normal"/>
    <w:next w:val="Normal"/>
    <w:semiHidden/>
    <w:rsid w:val="00002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5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598"/>
    <w:rPr>
      <w:rFonts w:ascii="Wingdings" w:hAnsi="Wingdings"/>
    </w:rPr>
  </w:style>
  <w:style w:type="paragraph" w:customStyle="1" w:styleId="TableHeading">
    <w:name w:val="Table Heading"/>
    <w:basedOn w:val="HeadingBase"/>
    <w:rsid w:val="00002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598"/>
    <w:rPr>
      <w:color w:val="0033CC"/>
      <w:u w:val="none"/>
    </w:rPr>
  </w:style>
  <w:style w:type="paragraph" w:customStyle="1" w:styleId="BodyTextRight">
    <w:name w:val="Body Text Right"/>
    <w:basedOn w:val="BodyText"/>
    <w:rsid w:val="00002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5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598"/>
    <w:rPr>
      <w:sz w:val="32"/>
    </w:rPr>
  </w:style>
  <w:style w:type="paragraph" w:customStyle="1" w:styleId="HeadingProcedure">
    <w:name w:val="Heading Procedure"/>
    <w:basedOn w:val="HeadingBase"/>
    <w:next w:val="Normal"/>
    <w:rsid w:val="00002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598"/>
    <w:pPr>
      <w:spacing w:before="60" w:after="60"/>
    </w:pPr>
  </w:style>
  <w:style w:type="paragraph" w:styleId="ListContinue">
    <w:name w:val="List Continue"/>
    <w:basedOn w:val="List"/>
    <w:rsid w:val="00002598"/>
    <w:pPr>
      <w:ind w:firstLine="0"/>
    </w:pPr>
  </w:style>
  <w:style w:type="paragraph" w:customStyle="1" w:styleId="ListNote">
    <w:name w:val="List Note"/>
    <w:basedOn w:val="List"/>
    <w:rsid w:val="00002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598"/>
    <w:rPr>
      <w:rFonts w:ascii="Courier New" w:hAnsi="Courier New"/>
    </w:rPr>
  </w:style>
  <w:style w:type="paragraph" w:customStyle="1" w:styleId="NoteBullet">
    <w:name w:val="Note Bullet"/>
    <w:basedOn w:val="Note"/>
    <w:rsid w:val="00002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5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598"/>
    <w:rPr>
      <w:b/>
      <w:smallCaps/>
    </w:rPr>
  </w:style>
  <w:style w:type="paragraph" w:customStyle="1" w:styleId="TableListNumber">
    <w:name w:val="Table List Number"/>
    <w:basedOn w:val="ListNumber"/>
    <w:rsid w:val="00002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598"/>
    <w:pPr>
      <w:numPr>
        <w:numId w:val="9"/>
      </w:numPr>
    </w:pPr>
  </w:style>
  <w:style w:type="paragraph" w:customStyle="1" w:styleId="ListAlpha2">
    <w:name w:val="List Alpha 2"/>
    <w:basedOn w:val="List2"/>
    <w:rsid w:val="00002598"/>
    <w:pPr>
      <w:numPr>
        <w:numId w:val="8"/>
      </w:numPr>
    </w:pPr>
  </w:style>
  <w:style w:type="paragraph" w:styleId="List2">
    <w:name w:val="List 2"/>
    <w:basedOn w:val="BodyText"/>
    <w:rsid w:val="00002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5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5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598"/>
    <w:pPr>
      <w:numPr>
        <w:numId w:val="4"/>
      </w:numPr>
    </w:pPr>
  </w:style>
  <w:style w:type="paragraph" w:styleId="ListContinue2">
    <w:name w:val="List Continue 2"/>
    <w:basedOn w:val="List2"/>
    <w:rsid w:val="00002598"/>
    <w:pPr>
      <w:ind w:firstLine="0"/>
    </w:pPr>
  </w:style>
  <w:style w:type="paragraph" w:styleId="ListContinue3">
    <w:name w:val="List Continue 3"/>
    <w:basedOn w:val="List3"/>
    <w:rsid w:val="00002598"/>
    <w:pPr>
      <w:ind w:left="1021" w:firstLine="0"/>
    </w:pPr>
  </w:style>
  <w:style w:type="paragraph" w:styleId="ListContinue4">
    <w:name w:val="List Continue 4"/>
    <w:basedOn w:val="List4"/>
    <w:rsid w:val="00002598"/>
    <w:pPr>
      <w:ind w:firstLine="0"/>
    </w:pPr>
  </w:style>
  <w:style w:type="paragraph" w:styleId="ListContinue5">
    <w:name w:val="List Continue 5"/>
    <w:basedOn w:val="List5"/>
    <w:rsid w:val="00002598"/>
    <w:pPr>
      <w:ind w:firstLine="0"/>
    </w:pPr>
  </w:style>
  <w:style w:type="paragraph" w:styleId="ListNumber3">
    <w:name w:val="List Number 3"/>
    <w:basedOn w:val="List3"/>
    <w:rsid w:val="00002598"/>
    <w:pPr>
      <w:numPr>
        <w:numId w:val="5"/>
      </w:numPr>
    </w:pPr>
  </w:style>
  <w:style w:type="paragraph" w:styleId="ListNumber4">
    <w:name w:val="List Number 4"/>
    <w:basedOn w:val="List4"/>
    <w:rsid w:val="00002598"/>
    <w:pPr>
      <w:numPr>
        <w:numId w:val="6"/>
      </w:numPr>
    </w:pPr>
  </w:style>
  <w:style w:type="paragraph" w:styleId="ListNumber5">
    <w:name w:val="List Number 5"/>
    <w:basedOn w:val="List5"/>
    <w:rsid w:val="00002598"/>
    <w:pPr>
      <w:numPr>
        <w:numId w:val="7"/>
      </w:numPr>
    </w:pPr>
  </w:style>
  <w:style w:type="paragraph" w:styleId="BlockText">
    <w:name w:val="Block Text"/>
    <w:basedOn w:val="Normal"/>
    <w:rsid w:val="00002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598"/>
    <w:rPr>
      <w:sz w:val="16"/>
      <w:vertAlign w:val="superscript"/>
    </w:rPr>
  </w:style>
  <w:style w:type="character" w:customStyle="1" w:styleId="Symbols">
    <w:name w:val="Symbols"/>
    <w:basedOn w:val="DefaultParagraphFont"/>
    <w:rsid w:val="00002598"/>
    <w:rPr>
      <w:rFonts w:ascii="Symbol" w:hAnsi="Symbol"/>
    </w:rPr>
  </w:style>
  <w:style w:type="character" w:customStyle="1" w:styleId="MenuOptions">
    <w:name w:val="Menu Options"/>
    <w:basedOn w:val="DefaultParagraphFont"/>
    <w:rsid w:val="00002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598"/>
    <w:rPr>
      <w:b/>
    </w:rPr>
  </w:style>
  <w:style w:type="character" w:customStyle="1" w:styleId="Underlined">
    <w:name w:val="Underlined"/>
    <w:basedOn w:val="DefaultParagraphFont"/>
    <w:rsid w:val="00002598"/>
    <w:rPr>
      <w:u w:val="single"/>
    </w:rPr>
  </w:style>
  <w:style w:type="paragraph" w:customStyle="1" w:styleId="TableBodyTextRight">
    <w:name w:val="Table Body Text Right"/>
    <w:basedOn w:val="TableBodyText"/>
    <w:rsid w:val="00002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598"/>
    <w:rPr>
      <w:sz w:val="18"/>
    </w:rPr>
  </w:style>
  <w:style w:type="paragraph" w:customStyle="1" w:styleId="BodySmallRight">
    <w:name w:val="Body Small Right"/>
    <w:basedOn w:val="BodyTextRight"/>
    <w:rsid w:val="00002598"/>
    <w:rPr>
      <w:sz w:val="18"/>
      <w:szCs w:val="18"/>
    </w:rPr>
  </w:style>
  <w:style w:type="paragraph" w:customStyle="1" w:styleId="MarginEdition">
    <w:name w:val="Margin Edition"/>
    <w:basedOn w:val="MarginNote"/>
    <w:rsid w:val="00002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598"/>
    <w:rPr>
      <w:sz w:val="2"/>
      <w:szCs w:val="2"/>
    </w:rPr>
  </w:style>
  <w:style w:type="character" w:customStyle="1" w:styleId="Small">
    <w:name w:val="Small"/>
    <w:basedOn w:val="DefaultParagraphFont"/>
    <w:rsid w:val="00002598"/>
    <w:rPr>
      <w:sz w:val="16"/>
    </w:rPr>
  </w:style>
  <w:style w:type="paragraph" w:customStyle="1" w:styleId="WideTable">
    <w:name w:val="Wide Table"/>
    <w:basedOn w:val="Normal"/>
    <w:rsid w:val="00002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598"/>
  </w:style>
  <w:style w:type="paragraph" w:styleId="Quote">
    <w:name w:val="Quote"/>
    <w:basedOn w:val="Heading1"/>
    <w:link w:val="QuoteChar"/>
    <w:qFormat/>
    <w:rsid w:val="00002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598"/>
    <w:pPr>
      <w:pageBreakBefore/>
    </w:pPr>
  </w:style>
  <w:style w:type="paragraph" w:customStyle="1" w:styleId="Border">
    <w:name w:val="Border"/>
    <w:basedOn w:val="Normal"/>
    <w:qFormat/>
    <w:rsid w:val="00002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598"/>
    <w:rPr>
      <w:u w:val="single"/>
    </w:rPr>
  </w:style>
  <w:style w:type="character" w:customStyle="1" w:styleId="BoldandItalics">
    <w:name w:val="Bold and Italics"/>
    <w:qFormat/>
    <w:rsid w:val="00002598"/>
    <w:rPr>
      <w:b/>
      <w:i/>
      <w:u w:val="none"/>
    </w:rPr>
  </w:style>
  <w:style w:type="paragraph" w:styleId="BalloonText">
    <w:name w:val="Balloon Text"/>
    <w:basedOn w:val="Normal"/>
    <w:link w:val="BalloonTextChar"/>
    <w:rsid w:val="00002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598"/>
    <w:pPr>
      <w:spacing w:before="0" w:after="0"/>
    </w:pPr>
  </w:style>
  <w:style w:type="paragraph" w:customStyle="1" w:styleId="BodyTextBold">
    <w:name w:val="Body Text Bold"/>
    <w:basedOn w:val="BodyText"/>
    <w:qFormat/>
    <w:rsid w:val="00002598"/>
    <w:rPr>
      <w:b/>
    </w:rPr>
  </w:style>
  <w:style w:type="character" w:styleId="Hyperlink">
    <w:name w:val="Hyperlink"/>
    <w:basedOn w:val="DefaultParagraphFont"/>
    <w:uiPriority w:val="99"/>
    <w:unhideWhenUsed/>
    <w:rsid w:val="00AF2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5528</Characters>
  <Application>Microsoft Office Word</Application>
  <DocSecurity>0</DocSecurity>
  <Lines>157</Lines>
  <Paragraphs>111</Paragraphs>
  <ScaleCrop>false</ScaleCrop>
  <Company>Author-it Software Corporation Ltd.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PMBPROD343E Shut down plant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