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3CB0" w:rsidP="00903C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PMBPROD343E Shut down plant area</w:t>
      </w:r>
      <w:r>
        <w:fldChar w:fldCharType="end"/>
      </w:r>
    </w:p>
    <w:p w:rsidR="00903CB0" w:rsidP="00903CB0">
      <w:pPr>
        <w:pStyle w:val="Version"/>
        <w:sectPr w:rsidSect="00AC2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516" w:rsidP="00AC2516">
      <w:pPr>
        <w:pStyle w:val="SuperHeading"/>
      </w:pPr>
      <w:r w:rsidRPr="00AC2516">
        <w:t>Assessment Requirements for PMBPROD343E Shut down plant area</w:t>
      </w:r>
    </w:p>
    <w:p w:rsidR="00000000" w:rsidRPr="00AC2516" w:rsidP="00AC2516">
      <w:pPr>
        <w:pStyle w:val="Heading1"/>
      </w:pPr>
      <w:bookmarkStart w:id="1" w:name="O_1115190"/>
      <w:bookmarkEnd w:id="1"/>
      <w:r w:rsidRPr="00AC2516">
        <w:t>Modification History</w:t>
      </w:r>
    </w:p>
    <w:p w:rsidR="00000000" w:rsidRPr="00AC2516" w:rsidP="00903CB0">
      <w:pPr>
        <w:pStyle w:val="BodyText"/>
      </w:pPr>
      <w:r w:rsidRPr="00AC2516">
        <w:t>Release 1. Unit code changed. Application changed. Elements and Performance Criteria changed. Range of Conditions removed. Assessment Requirements changed. Supersedes and is equivalent to PMBPROD343 Shut down plant ar</w:t>
      </w:r>
      <w:r w:rsidRPr="00AC2516">
        <w:t>ea.</w:t>
      </w:r>
    </w:p>
    <w:p w:rsidR="00000000" w:rsidRPr="00AC2516" w:rsidP="00AC2516">
      <w:pPr>
        <w:pStyle w:val="Heading1"/>
      </w:pPr>
      <w:bookmarkStart w:id="2" w:name="O_1115191"/>
      <w:bookmarkEnd w:id="2"/>
      <w:r w:rsidRPr="00AC2516">
        <w:t>Performance Evidence</w:t>
      </w:r>
    </w:p>
    <w:p w:rsidR="00000000" w:rsidRPr="00AC2516" w:rsidP="00903CB0">
      <w:pPr>
        <w:pStyle w:val="BodyText"/>
      </w:pPr>
      <w:r w:rsidRPr="00AC2516">
        <w:t>There must be evidence the candidate has completed the tasks outlined in the elements and performance criteria of this unit, and demonstrated the ability to:</w:t>
      </w:r>
    </w:p>
    <w:p w:rsidR="00000000" w:rsidRPr="00AC2516" w:rsidP="00AC2516">
      <w:pPr>
        <w:pStyle w:val="ListBullet"/>
      </w:pPr>
      <w:r w:rsidRPr="00AC2516">
        <w:t>shut down a plant area at least once, either for main</w:t>
      </w:r>
      <w:r w:rsidRPr="00AC2516">
        <w:t>tenance or at the end of a production run.</w:t>
      </w:r>
    </w:p>
    <w:p w:rsidR="00000000" w:rsidRPr="00AC2516" w:rsidP="00AC2516">
      <w:pPr>
        <w:pStyle w:val="AllowPageBreak"/>
      </w:pPr>
    </w:p>
    <w:p w:rsidR="00000000" w:rsidRPr="00AC2516" w:rsidP="00AC2516">
      <w:pPr>
        <w:pStyle w:val="Heading1"/>
      </w:pPr>
      <w:bookmarkStart w:id="3" w:name="O_1115192"/>
      <w:bookmarkEnd w:id="3"/>
      <w:r w:rsidRPr="00AC2516">
        <w:t>Knowledge Evidence</w:t>
      </w:r>
    </w:p>
    <w:p w:rsidR="00000000" w:rsidRPr="00AC2516" w:rsidP="00903CB0">
      <w:pPr>
        <w:pStyle w:val="BodyText"/>
      </w:pPr>
      <w:r w:rsidRPr="00AC2516">
        <w:t>There must be evidence the candidate has knowledge of:</w:t>
      </w:r>
    </w:p>
    <w:p w:rsidR="00000000" w:rsidRPr="00AC2516" w:rsidP="00AC2516">
      <w:pPr>
        <w:pStyle w:val="ListBullet"/>
      </w:pPr>
      <w:r w:rsidRPr="00AC2516">
        <w:t xml:space="preserve">the structure, functions and principles of operation of equipment, machine components and ancillary equipment </w:t>
      </w:r>
    </w:p>
    <w:p w:rsidR="00000000" w:rsidRPr="00AC2516" w:rsidP="00AC2516">
      <w:pPr>
        <w:pStyle w:val="ListBullet"/>
      </w:pPr>
      <w:r w:rsidRPr="00AC2516">
        <w:t>the natu</w:t>
      </w:r>
      <w:r w:rsidRPr="00AC2516">
        <w:t>re of mechanical, hydraulic, pneumatic, electrical and electronic principles that affect machine operation</w:t>
      </w:r>
    </w:p>
    <w:p w:rsidR="00000000" w:rsidRPr="00AC2516" w:rsidP="00AC2516">
      <w:pPr>
        <w:pStyle w:val="ListBullet"/>
      </w:pPr>
      <w:r w:rsidRPr="00AC2516">
        <w:t>the impact of variations in production cycle, process and sequences on shutdown of equipment systems</w:t>
      </w:r>
    </w:p>
    <w:p w:rsidR="00000000" w:rsidRPr="00AC2516" w:rsidP="00AC2516">
      <w:pPr>
        <w:pStyle w:val="ListBullet"/>
      </w:pPr>
      <w:r w:rsidRPr="00AC2516">
        <w:t>functions and applications of analogue controls,</w:t>
      </w:r>
      <w:r w:rsidRPr="00AC2516">
        <w:t xml:space="preserve"> digital controls, and microprocessor-based process controls</w:t>
      </w:r>
    </w:p>
    <w:p w:rsidR="00000000" w:rsidRPr="00AC2516" w:rsidP="00AC2516">
      <w:pPr>
        <w:pStyle w:val="ListBullet"/>
      </w:pPr>
      <w:r w:rsidRPr="00AC2516">
        <w:t>functions of and readings from polymer processing machinery, including:</w:t>
      </w:r>
    </w:p>
    <w:p w:rsidR="00000000" w:rsidRPr="00AC2516" w:rsidP="00AC2516">
      <w:pPr>
        <w:pStyle w:val="ListBullet2"/>
      </w:pPr>
      <w:r w:rsidRPr="00AC2516">
        <w:t xml:space="preserve">levelling </w:t>
      </w:r>
    </w:p>
    <w:p w:rsidR="00000000" w:rsidRPr="00AC2516" w:rsidP="00AC2516">
      <w:pPr>
        <w:pStyle w:val="ListBullet2"/>
      </w:pPr>
      <w:r w:rsidRPr="00AC2516">
        <w:t>thermocouples</w:t>
      </w:r>
    </w:p>
    <w:p w:rsidR="00000000" w:rsidRPr="00AC2516" w:rsidP="00AC2516">
      <w:pPr>
        <w:pStyle w:val="ListBullet2"/>
      </w:pPr>
      <w:r w:rsidRPr="00AC2516">
        <w:t>pyrometers</w:t>
      </w:r>
    </w:p>
    <w:p w:rsidR="00000000" w:rsidRPr="00AC2516" w:rsidP="00AC2516">
      <w:pPr>
        <w:pStyle w:val="ListBullet2"/>
      </w:pPr>
      <w:r w:rsidRPr="00AC2516">
        <w:t>transducers</w:t>
      </w:r>
    </w:p>
    <w:p w:rsidR="00000000" w:rsidRPr="00AC2516" w:rsidP="00AC2516">
      <w:pPr>
        <w:pStyle w:val="ListBullet2"/>
      </w:pPr>
      <w:r w:rsidRPr="00AC2516">
        <w:t xml:space="preserve">thermometers </w:t>
      </w:r>
    </w:p>
    <w:p w:rsidR="00000000" w:rsidRPr="00AC2516" w:rsidP="00AC2516">
      <w:pPr>
        <w:pStyle w:val="ListBullet2"/>
      </w:pPr>
      <w:r w:rsidRPr="00AC2516">
        <w:t>pressure gauges</w:t>
      </w:r>
    </w:p>
    <w:p w:rsidR="00000000" w:rsidRPr="00AC2516" w:rsidP="00AC2516">
      <w:pPr>
        <w:pStyle w:val="ListBullet2"/>
      </w:pPr>
      <w:r w:rsidRPr="00AC2516">
        <w:t xml:space="preserve">vacuum gauges </w:t>
      </w:r>
    </w:p>
    <w:p w:rsidR="00000000" w:rsidRPr="00AC2516" w:rsidP="00AC2516">
      <w:pPr>
        <w:pStyle w:val="ListBullet2"/>
      </w:pPr>
      <w:r w:rsidRPr="00AC2516">
        <w:t>flow meters</w:t>
      </w:r>
    </w:p>
    <w:p w:rsidR="00000000" w:rsidRPr="00AC2516" w:rsidP="00AC2516">
      <w:pPr>
        <w:pStyle w:val="ListBullet"/>
      </w:pPr>
      <w:r w:rsidRPr="00AC2516">
        <w:t>purpose and operation of safety interlocks and systems in the process, including:</w:t>
      </w:r>
    </w:p>
    <w:p w:rsidR="00000000" w:rsidRPr="00AC2516" w:rsidP="00AC2516">
      <w:pPr>
        <w:pStyle w:val="ListBullet2"/>
      </w:pPr>
      <w:r w:rsidRPr="00AC2516">
        <w:t xml:space="preserve">limit switches </w:t>
      </w:r>
    </w:p>
    <w:p w:rsidR="00000000" w:rsidRPr="00AC2516" w:rsidP="00AC2516">
      <w:pPr>
        <w:pStyle w:val="ListBullet2"/>
      </w:pPr>
      <w:r w:rsidRPr="00AC2516">
        <w:t xml:space="preserve">normally open/normally closed </w:t>
      </w:r>
    </w:p>
    <w:p w:rsidR="00000000" w:rsidRPr="00AC2516" w:rsidP="00AC2516">
      <w:pPr>
        <w:pStyle w:val="ListBullet2"/>
      </w:pPr>
      <w:r w:rsidRPr="00AC2516">
        <w:t xml:space="preserve">overstroke control systems </w:t>
      </w:r>
    </w:p>
    <w:p w:rsidR="00000000" w:rsidRPr="00AC2516" w:rsidP="00AC2516">
      <w:pPr>
        <w:pStyle w:val="ListBullet2"/>
      </w:pPr>
      <w:r w:rsidRPr="00AC2516">
        <w:t xml:space="preserve">hydraulic temperature control </w:t>
      </w:r>
    </w:p>
    <w:p w:rsidR="00000000" w:rsidRPr="00AC2516" w:rsidP="00AC2516">
      <w:pPr>
        <w:pStyle w:val="ListBullet2"/>
      </w:pPr>
      <w:r w:rsidRPr="00AC2516">
        <w:t xml:space="preserve">material temperature control </w:t>
      </w:r>
    </w:p>
    <w:p w:rsidR="00000000" w:rsidRPr="00AC2516" w:rsidP="00AC2516">
      <w:pPr>
        <w:pStyle w:val="ListBullet2"/>
      </w:pPr>
      <w:r w:rsidRPr="00AC2516">
        <w:t xml:space="preserve">machine guards </w:t>
      </w:r>
    </w:p>
    <w:p w:rsidR="00000000" w:rsidRPr="00AC2516" w:rsidP="00AC2516">
      <w:pPr>
        <w:pStyle w:val="ListBullet2"/>
      </w:pPr>
      <w:r w:rsidRPr="00AC2516">
        <w:t xml:space="preserve">nozzle purge guard </w:t>
      </w:r>
    </w:p>
    <w:p w:rsidR="00000000" w:rsidRPr="00AC2516" w:rsidP="00AC2516">
      <w:pPr>
        <w:pStyle w:val="ListBullet2"/>
      </w:pPr>
      <w:r w:rsidRPr="00AC2516">
        <w:t xml:space="preserve">mould protection systems </w:t>
      </w:r>
    </w:p>
    <w:p w:rsidR="00000000" w:rsidRPr="00AC2516" w:rsidP="00AC2516">
      <w:pPr>
        <w:pStyle w:val="ListBullet2"/>
      </w:pPr>
      <w:r w:rsidRPr="00AC2516">
        <w:t>ejection limit switches</w:t>
      </w:r>
    </w:p>
    <w:p w:rsidR="00000000" w:rsidRPr="00AC2516" w:rsidP="00AC2516">
      <w:pPr>
        <w:pStyle w:val="ListBullet"/>
      </w:pPr>
      <w:r w:rsidRPr="00AC2516">
        <w:t>organisational procedures relevant to the work environment or job role</w:t>
      </w:r>
    </w:p>
    <w:p w:rsidR="00000000" w:rsidRPr="00AC2516" w:rsidP="00AC2516">
      <w:pPr>
        <w:pStyle w:val="ListBullet"/>
      </w:pPr>
      <w:r w:rsidRPr="00AC2516">
        <w:t>hazards that may arise in the job or work environment, and:</w:t>
      </w:r>
    </w:p>
    <w:p w:rsidR="00000000" w:rsidRPr="00AC2516" w:rsidP="00AC2516">
      <w:pPr>
        <w:pStyle w:val="ListBullet2"/>
      </w:pPr>
      <w:r w:rsidRPr="00AC2516">
        <w:t>their possible causes</w:t>
      </w:r>
    </w:p>
    <w:p w:rsidR="00000000" w:rsidRPr="00AC2516" w:rsidP="00AC2516">
      <w:pPr>
        <w:pStyle w:val="ListBullet2"/>
      </w:pPr>
      <w:r w:rsidRPr="00AC2516">
        <w:t>potential consequences</w:t>
      </w:r>
    </w:p>
    <w:p w:rsidR="00000000" w:rsidRPr="00AC2516" w:rsidP="00AC2516">
      <w:pPr>
        <w:pStyle w:val="ListBullet2"/>
      </w:pPr>
      <w:r w:rsidRPr="00AC2516">
        <w:t>appropriate risk controls.</w:t>
      </w:r>
    </w:p>
    <w:p w:rsidR="00000000" w:rsidRPr="00AC2516" w:rsidP="00AC2516">
      <w:pPr>
        <w:pStyle w:val="AllowPageBreak"/>
      </w:pPr>
    </w:p>
    <w:p w:rsidR="00000000" w:rsidRPr="00AC2516" w:rsidP="00AC2516">
      <w:pPr>
        <w:pStyle w:val="Heading1"/>
      </w:pPr>
      <w:bookmarkStart w:id="4" w:name="O_1115193"/>
      <w:bookmarkEnd w:id="4"/>
      <w:r w:rsidRPr="00AC2516">
        <w:t>Assessment Conditions</w:t>
      </w:r>
    </w:p>
    <w:p w:rsidR="00000000" w:rsidRPr="00AC2516" w:rsidP="00903CB0">
      <w:pPr>
        <w:pStyle w:val="BodyText"/>
      </w:pPr>
      <w:r w:rsidRPr="00AC2516">
        <w:t xml:space="preserve">Skills must have been demonstrated in the workplace or in a simulated environment that reflects workplace conditions and contingencies. </w:t>
      </w:r>
    </w:p>
    <w:p w:rsidR="00000000" w:rsidRPr="00AC2516" w:rsidP="00903CB0">
      <w:pPr>
        <w:pStyle w:val="BodyText"/>
      </w:pPr>
      <w:r w:rsidRPr="00AC2516">
        <w:t>Assessors must satisfy the NVR/AQTF mandatory competency requirements for asses</w:t>
      </w:r>
      <w:r w:rsidRPr="00AC2516">
        <w:t>sors.</w:t>
      </w:r>
    </w:p>
    <w:p w:rsidR="00000000" w:rsidRPr="00AC2516" w:rsidP="00AC2516">
      <w:pPr>
        <w:pStyle w:val="Heading1"/>
      </w:pPr>
      <w:bookmarkStart w:id="5" w:name="O_1115196"/>
      <w:bookmarkEnd w:id="5"/>
      <w:r w:rsidRPr="00AC2516">
        <w:t>Links</w:t>
      </w:r>
    </w:p>
    <w:p w:rsidR="00000000" w:rsidRPr="00AC2516" w:rsidP="00903CB0">
      <w:pPr>
        <w:pStyle w:val="BodyText"/>
      </w:pPr>
      <w:r w:rsidRPr="00AC251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46A88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C2516" w:rsidP="00AC2516"/>
    <w:sectPr w:rsidSect="00AC25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16" w:rsidRPr="00903CB0" w:rsidP="00903C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B0" w:rsidP="00AC2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3CB0" w:rsidP="00AC2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03CB0" w:rsidP="00AC2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516" w:rsidRPr="00903CB0" w:rsidP="00903C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CB0" w:rsidRPr="002D2AF8" w:rsidP="00AC2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PMBPROD343E Shut down plant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03CB0" w:rsidP="00AC2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B45B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E496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A6BD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516"/>
  </w:style>
  <w:style w:type="character" w:customStyle="1" w:styleId="Heading1Char">
    <w:name w:val="Heading 1 Char"/>
    <w:basedOn w:val="DefaultParagraphFont"/>
    <w:link w:val="Heading1"/>
    <w:rsid w:val="00AC2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5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5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25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2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5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2516"/>
    <w:rPr>
      <w:b/>
      <w:spacing w:val="0"/>
    </w:rPr>
  </w:style>
  <w:style w:type="paragraph" w:customStyle="1" w:styleId="SuperTitle">
    <w:name w:val="SuperTitle"/>
    <w:basedOn w:val="Title"/>
    <w:rsid w:val="00AC2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2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5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2516"/>
    <w:rPr>
      <w:i/>
    </w:rPr>
  </w:style>
  <w:style w:type="paragraph" w:styleId="Caption">
    <w:name w:val="caption"/>
    <w:basedOn w:val="BodyText"/>
    <w:next w:val="Normal"/>
    <w:qFormat/>
    <w:rsid w:val="00AC2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516"/>
  </w:style>
  <w:style w:type="paragraph" w:styleId="TableofFigures">
    <w:name w:val="table of figures"/>
    <w:basedOn w:val="Normal"/>
    <w:next w:val="Normal"/>
    <w:semiHidden/>
    <w:rsid w:val="00AC2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5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2516"/>
    <w:rPr>
      <w:rFonts w:ascii="Wingdings" w:hAnsi="Wingdings"/>
    </w:rPr>
  </w:style>
  <w:style w:type="paragraph" w:customStyle="1" w:styleId="TableHeading">
    <w:name w:val="Table Heading"/>
    <w:basedOn w:val="HeadingBase"/>
    <w:rsid w:val="00AC2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516"/>
    <w:rPr>
      <w:color w:val="0033CC"/>
      <w:u w:val="none"/>
    </w:rPr>
  </w:style>
  <w:style w:type="paragraph" w:customStyle="1" w:styleId="BodyTextRight">
    <w:name w:val="Body Text Right"/>
    <w:basedOn w:val="BodyText"/>
    <w:rsid w:val="00AC2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5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516"/>
    <w:rPr>
      <w:sz w:val="32"/>
    </w:rPr>
  </w:style>
  <w:style w:type="paragraph" w:customStyle="1" w:styleId="HeadingProcedure">
    <w:name w:val="Heading Procedure"/>
    <w:basedOn w:val="HeadingBase"/>
    <w:next w:val="Normal"/>
    <w:rsid w:val="00AC2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516"/>
    <w:pPr>
      <w:spacing w:before="60" w:after="60"/>
    </w:pPr>
  </w:style>
  <w:style w:type="paragraph" w:styleId="ListContinue">
    <w:name w:val="List Continue"/>
    <w:basedOn w:val="List"/>
    <w:rsid w:val="00AC2516"/>
    <w:pPr>
      <w:ind w:firstLine="0"/>
    </w:pPr>
  </w:style>
  <w:style w:type="paragraph" w:customStyle="1" w:styleId="ListNote">
    <w:name w:val="List Note"/>
    <w:basedOn w:val="List"/>
    <w:rsid w:val="00AC2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516"/>
    <w:rPr>
      <w:rFonts w:ascii="Courier New" w:hAnsi="Courier New"/>
    </w:rPr>
  </w:style>
  <w:style w:type="paragraph" w:customStyle="1" w:styleId="NoteBullet">
    <w:name w:val="Note Bullet"/>
    <w:basedOn w:val="Note"/>
    <w:rsid w:val="00AC2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5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516"/>
    <w:rPr>
      <w:b/>
      <w:smallCaps/>
    </w:rPr>
  </w:style>
  <w:style w:type="paragraph" w:customStyle="1" w:styleId="TableListNumber">
    <w:name w:val="Table List Number"/>
    <w:basedOn w:val="ListNumber"/>
    <w:rsid w:val="00AC2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516"/>
    <w:pPr>
      <w:numPr>
        <w:numId w:val="9"/>
      </w:numPr>
    </w:pPr>
  </w:style>
  <w:style w:type="paragraph" w:customStyle="1" w:styleId="ListAlpha2">
    <w:name w:val="List Alpha 2"/>
    <w:basedOn w:val="List2"/>
    <w:rsid w:val="00AC2516"/>
    <w:pPr>
      <w:numPr>
        <w:numId w:val="8"/>
      </w:numPr>
    </w:pPr>
  </w:style>
  <w:style w:type="paragraph" w:styleId="List2">
    <w:name w:val="List 2"/>
    <w:basedOn w:val="BodyText"/>
    <w:rsid w:val="00AC2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5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5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2516"/>
    <w:pPr>
      <w:numPr>
        <w:numId w:val="4"/>
      </w:numPr>
    </w:pPr>
  </w:style>
  <w:style w:type="paragraph" w:styleId="ListContinue2">
    <w:name w:val="List Continue 2"/>
    <w:basedOn w:val="List2"/>
    <w:rsid w:val="00AC2516"/>
    <w:pPr>
      <w:ind w:firstLine="0"/>
    </w:pPr>
  </w:style>
  <w:style w:type="paragraph" w:styleId="ListContinue3">
    <w:name w:val="List Continue 3"/>
    <w:basedOn w:val="List3"/>
    <w:rsid w:val="00AC2516"/>
    <w:pPr>
      <w:ind w:left="1021" w:firstLine="0"/>
    </w:pPr>
  </w:style>
  <w:style w:type="paragraph" w:styleId="ListContinue4">
    <w:name w:val="List Continue 4"/>
    <w:basedOn w:val="List4"/>
    <w:rsid w:val="00AC2516"/>
    <w:pPr>
      <w:ind w:firstLine="0"/>
    </w:pPr>
  </w:style>
  <w:style w:type="paragraph" w:styleId="ListContinue5">
    <w:name w:val="List Continue 5"/>
    <w:basedOn w:val="List5"/>
    <w:rsid w:val="00AC2516"/>
    <w:pPr>
      <w:ind w:firstLine="0"/>
    </w:pPr>
  </w:style>
  <w:style w:type="paragraph" w:styleId="ListNumber3">
    <w:name w:val="List Number 3"/>
    <w:basedOn w:val="List3"/>
    <w:rsid w:val="00AC2516"/>
    <w:pPr>
      <w:numPr>
        <w:numId w:val="5"/>
      </w:numPr>
    </w:pPr>
  </w:style>
  <w:style w:type="paragraph" w:styleId="ListNumber4">
    <w:name w:val="List Number 4"/>
    <w:basedOn w:val="List4"/>
    <w:rsid w:val="00AC2516"/>
    <w:pPr>
      <w:numPr>
        <w:numId w:val="6"/>
      </w:numPr>
    </w:pPr>
  </w:style>
  <w:style w:type="paragraph" w:styleId="ListNumber5">
    <w:name w:val="List Number 5"/>
    <w:basedOn w:val="List5"/>
    <w:rsid w:val="00AC2516"/>
    <w:pPr>
      <w:numPr>
        <w:numId w:val="7"/>
      </w:numPr>
    </w:pPr>
  </w:style>
  <w:style w:type="paragraph" w:styleId="BlockText">
    <w:name w:val="Block Text"/>
    <w:basedOn w:val="Normal"/>
    <w:rsid w:val="00AC2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516"/>
    <w:rPr>
      <w:sz w:val="16"/>
      <w:vertAlign w:val="superscript"/>
    </w:rPr>
  </w:style>
  <w:style w:type="character" w:customStyle="1" w:styleId="Symbols">
    <w:name w:val="Symbols"/>
    <w:basedOn w:val="DefaultParagraphFont"/>
    <w:rsid w:val="00AC2516"/>
    <w:rPr>
      <w:rFonts w:ascii="Symbol" w:hAnsi="Symbol"/>
    </w:rPr>
  </w:style>
  <w:style w:type="character" w:customStyle="1" w:styleId="MenuOptions">
    <w:name w:val="Menu Options"/>
    <w:basedOn w:val="DefaultParagraphFont"/>
    <w:rsid w:val="00AC2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516"/>
    <w:rPr>
      <w:b/>
    </w:rPr>
  </w:style>
  <w:style w:type="character" w:customStyle="1" w:styleId="Underlined">
    <w:name w:val="Underlined"/>
    <w:basedOn w:val="DefaultParagraphFont"/>
    <w:rsid w:val="00AC2516"/>
    <w:rPr>
      <w:u w:val="single"/>
    </w:rPr>
  </w:style>
  <w:style w:type="paragraph" w:customStyle="1" w:styleId="TableBodyTextRight">
    <w:name w:val="Table Body Text Right"/>
    <w:basedOn w:val="TableBodyText"/>
    <w:rsid w:val="00AC2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516"/>
    <w:rPr>
      <w:sz w:val="18"/>
    </w:rPr>
  </w:style>
  <w:style w:type="paragraph" w:customStyle="1" w:styleId="BodySmallRight">
    <w:name w:val="Body Small Right"/>
    <w:basedOn w:val="BodyTextRight"/>
    <w:rsid w:val="00AC2516"/>
    <w:rPr>
      <w:sz w:val="18"/>
      <w:szCs w:val="18"/>
    </w:rPr>
  </w:style>
  <w:style w:type="paragraph" w:customStyle="1" w:styleId="MarginEdition">
    <w:name w:val="Margin Edition"/>
    <w:basedOn w:val="MarginNote"/>
    <w:rsid w:val="00AC2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516"/>
    <w:rPr>
      <w:sz w:val="2"/>
      <w:szCs w:val="2"/>
    </w:rPr>
  </w:style>
  <w:style w:type="character" w:customStyle="1" w:styleId="Small">
    <w:name w:val="Small"/>
    <w:basedOn w:val="DefaultParagraphFont"/>
    <w:rsid w:val="00AC2516"/>
    <w:rPr>
      <w:sz w:val="16"/>
    </w:rPr>
  </w:style>
  <w:style w:type="paragraph" w:customStyle="1" w:styleId="WideTable">
    <w:name w:val="Wide Table"/>
    <w:basedOn w:val="Normal"/>
    <w:rsid w:val="00AC2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516"/>
  </w:style>
  <w:style w:type="paragraph" w:styleId="Quote">
    <w:name w:val="Quote"/>
    <w:basedOn w:val="Heading1"/>
    <w:link w:val="QuoteChar"/>
    <w:qFormat/>
    <w:rsid w:val="00AC2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516"/>
    <w:pPr>
      <w:pageBreakBefore/>
    </w:pPr>
  </w:style>
  <w:style w:type="paragraph" w:customStyle="1" w:styleId="Border">
    <w:name w:val="Border"/>
    <w:basedOn w:val="Normal"/>
    <w:qFormat/>
    <w:rsid w:val="00AC2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516"/>
    <w:rPr>
      <w:u w:val="single"/>
    </w:rPr>
  </w:style>
  <w:style w:type="character" w:customStyle="1" w:styleId="BoldandItalics">
    <w:name w:val="Bold and Italics"/>
    <w:qFormat/>
    <w:rsid w:val="00AC2516"/>
    <w:rPr>
      <w:b/>
      <w:i/>
      <w:u w:val="none"/>
    </w:rPr>
  </w:style>
  <w:style w:type="paragraph" w:styleId="BalloonText">
    <w:name w:val="Balloon Text"/>
    <w:basedOn w:val="Normal"/>
    <w:link w:val="BalloonTextChar"/>
    <w:rsid w:val="00AC2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516"/>
    <w:pPr>
      <w:spacing w:before="0" w:after="0"/>
    </w:pPr>
  </w:style>
  <w:style w:type="paragraph" w:customStyle="1" w:styleId="BodyTextBold">
    <w:name w:val="Body Text Bold"/>
    <w:basedOn w:val="BodyText"/>
    <w:qFormat/>
    <w:rsid w:val="00AC2516"/>
    <w:rPr>
      <w:b/>
    </w:rPr>
  </w:style>
  <w:style w:type="character" w:styleId="Hyperlink">
    <w:name w:val="Hyperlink"/>
    <w:basedOn w:val="DefaultParagraphFont"/>
    <w:uiPriority w:val="99"/>
    <w:unhideWhenUsed/>
    <w:rsid w:val="00903C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2106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PMBPROD343E Shut down plant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2022-03-25T00:44:00Z</dcterms:created>
  <dcterms:modified xsi:type="dcterms:W3CDTF">2022-03-25T00:44:00Z</dcterms:modified>
</cp:coreProperties>
</file>