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C7E" w:rsidP="00BE6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PMBPROD310E Produce injection moulded products</w:t>
      </w:r>
      <w:r>
        <w:fldChar w:fldCharType="end"/>
      </w:r>
    </w:p>
    <w:p w:rsidR="00BE6C7E" w:rsidP="00BE6C7E">
      <w:pPr>
        <w:pStyle w:val="Version"/>
        <w:sectPr w:rsidSect="00746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7F2" w:rsidP="007467F2">
      <w:pPr>
        <w:pStyle w:val="SuperHeading"/>
      </w:pPr>
      <w:r w:rsidRPr="007467F2">
        <w:t>Assessment Requirements for PMBPROD310E Produce injection moulded products</w:t>
      </w:r>
    </w:p>
    <w:p w:rsidR="00000000" w:rsidRPr="007467F2" w:rsidP="007467F2">
      <w:pPr>
        <w:pStyle w:val="Heading1"/>
      </w:pPr>
      <w:bookmarkStart w:id="1" w:name="O_1114905"/>
      <w:bookmarkEnd w:id="1"/>
      <w:r w:rsidRPr="007467F2">
        <w:t>Modification History</w:t>
      </w:r>
    </w:p>
    <w:p w:rsidR="00000000" w:rsidRPr="007467F2" w:rsidP="00BE6C7E">
      <w:pPr>
        <w:pStyle w:val="BodyText"/>
      </w:pPr>
      <w:r w:rsidRPr="007467F2">
        <w:t>Release 1. Unit code changed. Application changed. Elements and Perfor</w:t>
      </w:r>
      <w:r w:rsidRPr="007467F2">
        <w:t>mance Criteria changed. Range of Conditions removed. Assessment Requirements changed. Supersedes and is equivalent to PMBPROD310 Produce injection moulded products.</w:t>
      </w:r>
    </w:p>
    <w:p w:rsidR="00000000" w:rsidRPr="007467F2" w:rsidP="007467F2">
      <w:pPr>
        <w:pStyle w:val="Heading1"/>
      </w:pPr>
      <w:bookmarkStart w:id="2" w:name="O_1114906"/>
      <w:bookmarkEnd w:id="2"/>
      <w:r w:rsidRPr="007467F2">
        <w:t>Performance Evidence</w:t>
      </w:r>
    </w:p>
    <w:p w:rsidR="00000000" w:rsidRPr="007467F2" w:rsidP="00BE6C7E">
      <w:pPr>
        <w:pStyle w:val="BodyText"/>
      </w:pPr>
      <w:r w:rsidRPr="007467F2">
        <w:t xml:space="preserve">There must be evidence the candidate has completed </w:t>
      </w:r>
      <w:r w:rsidRPr="007467F2">
        <w:t>the tasks outlined in the elements and performance criteria of this unit, and demonstrated the ability to:</w:t>
      </w:r>
    </w:p>
    <w:p w:rsidR="00000000" w:rsidRPr="007467F2" w:rsidP="007467F2">
      <w:pPr>
        <w:pStyle w:val="ListBullet"/>
      </w:pPr>
      <w:r w:rsidRPr="007467F2">
        <w:t>produce injection moulded products at least once to meet job specifications.</w:t>
      </w:r>
    </w:p>
    <w:p w:rsidR="00000000" w:rsidRPr="007467F2" w:rsidP="007467F2">
      <w:pPr>
        <w:pStyle w:val="AllowPageBreak"/>
      </w:pPr>
    </w:p>
    <w:p w:rsidR="00000000" w:rsidRPr="007467F2" w:rsidP="007467F2">
      <w:pPr>
        <w:pStyle w:val="Heading1"/>
      </w:pPr>
      <w:bookmarkStart w:id="3" w:name="O_1114907"/>
      <w:bookmarkEnd w:id="3"/>
      <w:r w:rsidRPr="007467F2">
        <w:t>Knowledge Evidence</w:t>
      </w:r>
    </w:p>
    <w:p w:rsidR="00000000" w:rsidRPr="007467F2" w:rsidP="00BE6C7E">
      <w:pPr>
        <w:pStyle w:val="BodyText"/>
      </w:pPr>
      <w:r w:rsidRPr="007467F2">
        <w:t>There must be evidence the candid</w:t>
      </w:r>
      <w:r w:rsidRPr="007467F2">
        <w:t>ate has knowledge of:</w:t>
      </w:r>
    </w:p>
    <w:p w:rsidR="00000000" w:rsidRPr="007467F2" w:rsidP="007467F2">
      <w:pPr>
        <w:pStyle w:val="ListBullet"/>
      </w:pPr>
      <w:r w:rsidRPr="007467F2">
        <w:t>the functions and principles of operation of injection moulding equipment</w:t>
      </w:r>
    </w:p>
    <w:p w:rsidR="00000000" w:rsidRPr="007467F2" w:rsidP="007467F2">
      <w:pPr>
        <w:pStyle w:val="ListBullet"/>
      </w:pPr>
      <w:r w:rsidRPr="007467F2">
        <w:t>the functions and principles of operation of injection moulding machine components, including:</w:t>
      </w:r>
    </w:p>
    <w:p w:rsidR="00000000" w:rsidRPr="007467F2" w:rsidP="007467F2">
      <w:pPr>
        <w:pStyle w:val="ListBullet2"/>
      </w:pPr>
      <w:r w:rsidRPr="007467F2">
        <w:t>material supply systems</w:t>
      </w:r>
    </w:p>
    <w:p w:rsidR="00000000" w:rsidRPr="007467F2" w:rsidP="007467F2">
      <w:pPr>
        <w:pStyle w:val="ListBullet2"/>
      </w:pPr>
      <w:r w:rsidRPr="007467F2">
        <w:t>plastification units</w:t>
      </w:r>
    </w:p>
    <w:p w:rsidR="00000000" w:rsidRPr="007467F2" w:rsidP="007467F2">
      <w:pPr>
        <w:pStyle w:val="ListBullet2"/>
      </w:pPr>
      <w:r w:rsidRPr="007467F2">
        <w:t>dies/tools</w:t>
      </w:r>
    </w:p>
    <w:p w:rsidR="00000000" w:rsidRPr="007467F2" w:rsidP="007467F2">
      <w:pPr>
        <w:pStyle w:val="ListBullet2"/>
      </w:pPr>
      <w:r w:rsidRPr="007467F2">
        <w:t>injection units</w:t>
      </w:r>
    </w:p>
    <w:p w:rsidR="00000000" w:rsidRPr="007467F2" w:rsidP="007467F2">
      <w:pPr>
        <w:pStyle w:val="ListBullet"/>
      </w:pPr>
      <w:r w:rsidRPr="007467F2">
        <w:t>the functions and principles of operation of ancillary equipment integral to the process, including:</w:t>
      </w:r>
    </w:p>
    <w:p w:rsidR="00000000" w:rsidRPr="007467F2" w:rsidP="007467F2">
      <w:pPr>
        <w:pStyle w:val="ListBullet2"/>
      </w:pPr>
      <w:r w:rsidRPr="007467F2">
        <w:t>chillers</w:t>
      </w:r>
    </w:p>
    <w:p w:rsidR="00000000" w:rsidRPr="007467F2" w:rsidP="007467F2">
      <w:pPr>
        <w:pStyle w:val="ListBullet2"/>
      </w:pPr>
      <w:r w:rsidRPr="007467F2">
        <w:t>die heating equipment</w:t>
      </w:r>
    </w:p>
    <w:p w:rsidR="00000000" w:rsidRPr="007467F2" w:rsidP="007467F2">
      <w:pPr>
        <w:pStyle w:val="ListBullet2"/>
      </w:pPr>
      <w:r w:rsidRPr="007467F2">
        <w:t>hopper driers</w:t>
      </w:r>
    </w:p>
    <w:p w:rsidR="00000000" w:rsidRPr="007467F2" w:rsidP="007467F2">
      <w:pPr>
        <w:pStyle w:val="ListBullet2"/>
      </w:pPr>
      <w:r w:rsidRPr="007467F2">
        <w:t>mixing hoppers</w:t>
      </w:r>
    </w:p>
    <w:p w:rsidR="00000000" w:rsidRPr="007467F2" w:rsidP="007467F2">
      <w:pPr>
        <w:pStyle w:val="ListBullet2"/>
      </w:pPr>
      <w:r w:rsidRPr="007467F2">
        <w:t>dehumidifying driers</w:t>
      </w:r>
    </w:p>
    <w:p w:rsidR="00000000" w:rsidRPr="007467F2" w:rsidP="007467F2">
      <w:pPr>
        <w:pStyle w:val="ListBullet2"/>
      </w:pPr>
      <w:r w:rsidRPr="007467F2">
        <w:t>air compressors</w:t>
      </w:r>
    </w:p>
    <w:p w:rsidR="00000000" w:rsidRPr="007467F2" w:rsidP="007467F2">
      <w:pPr>
        <w:pStyle w:val="ListBullet2"/>
      </w:pPr>
      <w:r w:rsidRPr="007467F2">
        <w:t>dosing machines</w:t>
      </w:r>
    </w:p>
    <w:p w:rsidR="00000000" w:rsidRPr="007467F2" w:rsidP="007467F2">
      <w:pPr>
        <w:pStyle w:val="ListBullet2"/>
      </w:pPr>
      <w:r w:rsidRPr="007467F2">
        <w:t>blending and mixing equi</w:t>
      </w:r>
      <w:r w:rsidRPr="007467F2">
        <w:t>pment</w:t>
      </w:r>
    </w:p>
    <w:p w:rsidR="00000000" w:rsidRPr="007467F2" w:rsidP="007467F2">
      <w:pPr>
        <w:pStyle w:val="ListBullet2"/>
      </w:pPr>
      <w:r w:rsidRPr="007467F2">
        <w:t>conveyors</w:t>
      </w:r>
    </w:p>
    <w:p w:rsidR="00000000" w:rsidRPr="007467F2" w:rsidP="007467F2">
      <w:pPr>
        <w:pStyle w:val="ListBullet"/>
      </w:pPr>
      <w:r w:rsidRPr="007467F2">
        <w:t>mechanical, hydraulic, pneumatic, electrical and electronic principles that affect machine operation</w:t>
      </w:r>
    </w:p>
    <w:p w:rsidR="00000000" w:rsidRPr="007467F2" w:rsidP="007467F2">
      <w:pPr>
        <w:pStyle w:val="ListBullet"/>
      </w:pPr>
      <w:r w:rsidRPr="007467F2">
        <w:t>the criteria for overall process/equipment readiness for the process or equipment being used</w:t>
      </w:r>
    </w:p>
    <w:p w:rsidR="00000000" w:rsidRPr="007467F2" w:rsidP="007467F2">
      <w:pPr>
        <w:pStyle w:val="ListBullet"/>
      </w:pPr>
      <w:r w:rsidRPr="007467F2">
        <w:t>injection moulding production features and wo</w:t>
      </w:r>
      <w:r w:rsidRPr="007467F2">
        <w:t xml:space="preserve">rkflow sequences </w:t>
      </w:r>
    </w:p>
    <w:p w:rsidR="00000000" w:rsidRPr="007467F2" w:rsidP="007467F2">
      <w:pPr>
        <w:pStyle w:val="ListBullet"/>
      </w:pPr>
      <w:r w:rsidRPr="007467F2">
        <w:t>how to calculate injection moulding machine size and injection unit capacity to ensure appropriate equipment selection</w:t>
      </w:r>
    </w:p>
    <w:p w:rsidR="00000000" w:rsidRPr="007467F2" w:rsidP="007467F2">
      <w:pPr>
        <w:pStyle w:val="ListBullet"/>
      </w:pPr>
      <w:r w:rsidRPr="007467F2">
        <w:t>characteristics and properties of materials and their behaviour in relation to process conditions</w:t>
      </w:r>
    </w:p>
    <w:p w:rsidR="00000000" w:rsidRPr="007467F2" w:rsidP="007467F2">
      <w:pPr>
        <w:pStyle w:val="ListBullet"/>
      </w:pPr>
      <w:r w:rsidRPr="007467F2">
        <w:t>typical quality standards required at each stage of production</w:t>
      </w:r>
    </w:p>
    <w:p w:rsidR="00000000" w:rsidRPr="007467F2" w:rsidP="007467F2">
      <w:pPr>
        <w:pStyle w:val="ListBullet"/>
      </w:pPr>
      <w:r w:rsidRPr="007467F2">
        <w:t>key variables that may affect product quality and production output, including:</w:t>
      </w:r>
    </w:p>
    <w:p w:rsidR="00000000" w:rsidRPr="007467F2" w:rsidP="007467F2">
      <w:pPr>
        <w:pStyle w:val="ListBullet2"/>
      </w:pPr>
      <w:r w:rsidRPr="007467F2">
        <w:t>variations in raw materials and equipment operation</w:t>
      </w:r>
    </w:p>
    <w:p w:rsidR="00000000" w:rsidRPr="007467F2" w:rsidP="007467F2">
      <w:pPr>
        <w:pStyle w:val="ListBullet2"/>
      </w:pPr>
      <w:r w:rsidRPr="007467F2">
        <w:t>machine conditions</w:t>
      </w:r>
    </w:p>
    <w:p w:rsidR="00000000" w:rsidRPr="007467F2" w:rsidP="007467F2">
      <w:pPr>
        <w:pStyle w:val="ListBullet2"/>
      </w:pPr>
      <w:r w:rsidRPr="007467F2">
        <w:t>production rate</w:t>
      </w:r>
    </w:p>
    <w:p w:rsidR="00000000" w:rsidRPr="007467F2" w:rsidP="007467F2">
      <w:pPr>
        <w:pStyle w:val="ListBullet2"/>
      </w:pPr>
      <w:r w:rsidRPr="007467F2">
        <w:t>product integrity and con</w:t>
      </w:r>
      <w:r w:rsidRPr="007467F2">
        <w:t>formance to minimum acceptable end-user standards</w:t>
      </w:r>
    </w:p>
    <w:p w:rsidR="00000000" w:rsidRPr="007467F2" w:rsidP="007467F2">
      <w:pPr>
        <w:pStyle w:val="ListBullet"/>
      </w:pPr>
      <w:r w:rsidRPr="007467F2">
        <w:t>typical and atypical process and product problems, including early warning signs, possible causes and corrective actions</w:t>
      </w:r>
    </w:p>
    <w:p w:rsidR="00000000" w:rsidRPr="007467F2" w:rsidP="007467F2">
      <w:pPr>
        <w:pStyle w:val="ListBullet"/>
      </w:pPr>
      <w:r w:rsidRPr="007467F2">
        <w:t>methods and materials for purging equipment, and their combinations and applications</w:t>
      </w:r>
    </w:p>
    <w:p w:rsidR="00000000" w:rsidRPr="007467F2" w:rsidP="007467F2">
      <w:pPr>
        <w:pStyle w:val="ListBullet"/>
      </w:pPr>
      <w:r w:rsidRPr="007467F2">
        <w:t>organisational procedures relevant to the work environment and job role, including procedures for the emergency shutdown of equipment</w:t>
      </w:r>
    </w:p>
    <w:p w:rsidR="00000000" w:rsidRPr="007467F2" w:rsidP="007467F2">
      <w:pPr>
        <w:pStyle w:val="ListBullet"/>
      </w:pPr>
      <w:r w:rsidRPr="007467F2">
        <w:t>hazards that may arise in the job or work environment, and:</w:t>
      </w:r>
    </w:p>
    <w:p w:rsidR="00000000" w:rsidRPr="007467F2" w:rsidP="007467F2">
      <w:pPr>
        <w:pStyle w:val="ListBullet2"/>
      </w:pPr>
      <w:r w:rsidRPr="007467F2">
        <w:t>their possible causes</w:t>
      </w:r>
    </w:p>
    <w:p w:rsidR="00000000" w:rsidRPr="007467F2" w:rsidP="007467F2">
      <w:pPr>
        <w:pStyle w:val="ListBullet2"/>
      </w:pPr>
      <w:r w:rsidRPr="007467F2">
        <w:t>potential consequences</w:t>
      </w:r>
    </w:p>
    <w:p w:rsidR="00000000" w:rsidRPr="007467F2" w:rsidP="007467F2">
      <w:pPr>
        <w:pStyle w:val="ListBullet2"/>
      </w:pPr>
      <w:r w:rsidRPr="007467F2">
        <w:t>appropriate ris</w:t>
      </w:r>
      <w:r w:rsidRPr="007467F2">
        <w:t xml:space="preserve">k controls. </w:t>
      </w:r>
    </w:p>
    <w:p w:rsidR="00000000" w:rsidRPr="007467F2" w:rsidP="007467F2">
      <w:pPr>
        <w:pStyle w:val="AllowPageBreak"/>
      </w:pPr>
    </w:p>
    <w:p w:rsidR="00000000" w:rsidRPr="007467F2" w:rsidP="007467F2">
      <w:pPr>
        <w:pStyle w:val="Heading1"/>
      </w:pPr>
      <w:bookmarkStart w:id="4" w:name="O_1114908"/>
      <w:bookmarkEnd w:id="4"/>
      <w:r w:rsidRPr="007467F2">
        <w:t>Assessment Conditions</w:t>
      </w:r>
    </w:p>
    <w:p w:rsidR="00000000" w:rsidRPr="007467F2" w:rsidP="00BE6C7E">
      <w:pPr>
        <w:pStyle w:val="BodyText"/>
      </w:pPr>
      <w:r w:rsidRPr="007467F2">
        <w:t xml:space="preserve">Skills must have been demonstrated in the workplace or in a simulated environment that reflects workplace conditions and contingencies. </w:t>
      </w:r>
    </w:p>
    <w:p w:rsidR="00000000" w:rsidRPr="007467F2" w:rsidP="00BE6C7E">
      <w:pPr>
        <w:pStyle w:val="BodyText"/>
      </w:pPr>
      <w:r w:rsidRPr="007467F2">
        <w:t>Assessors must satisfy the NVR/AQTF mandatory competency requirements for assessors.</w:t>
      </w:r>
    </w:p>
    <w:p w:rsidR="00000000" w:rsidRPr="007467F2" w:rsidP="007467F2">
      <w:pPr>
        <w:pStyle w:val="Heading1"/>
      </w:pPr>
      <w:bookmarkStart w:id="5" w:name="O_1114911"/>
      <w:bookmarkEnd w:id="5"/>
      <w:r w:rsidRPr="007467F2">
        <w:t>Links</w:t>
      </w:r>
    </w:p>
    <w:p w:rsidR="00000000" w:rsidRPr="007467F2" w:rsidP="00BE6C7E">
      <w:pPr>
        <w:pStyle w:val="BodyText"/>
      </w:pPr>
      <w:r w:rsidRPr="007467F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16B3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467F2" w:rsidP="007467F2"/>
    <w:sectPr w:rsidSect="00746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F2" w:rsidRPr="00BE6C7E" w:rsidP="00BE6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7E" w:rsidP="00746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6C7E" w:rsidP="00746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6C7E" w:rsidP="00746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7F2" w:rsidRPr="00BE6C7E" w:rsidP="00BE6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7E" w:rsidRPr="002D2AF8" w:rsidP="00746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PMBPROD310E Produce injection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E6C7E" w:rsidP="00746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96D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746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43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7F2"/>
  </w:style>
  <w:style w:type="character" w:customStyle="1" w:styleId="Heading1Char">
    <w:name w:val="Heading 1 Char"/>
    <w:basedOn w:val="DefaultParagraphFont"/>
    <w:link w:val="Heading1"/>
    <w:rsid w:val="00746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7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67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7F2"/>
    <w:rPr>
      <w:b/>
      <w:spacing w:val="0"/>
    </w:rPr>
  </w:style>
  <w:style w:type="paragraph" w:customStyle="1" w:styleId="SuperTitle">
    <w:name w:val="SuperTitle"/>
    <w:basedOn w:val="Title"/>
    <w:rsid w:val="00746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7F2"/>
    <w:rPr>
      <w:i/>
    </w:rPr>
  </w:style>
  <w:style w:type="paragraph" w:styleId="Caption">
    <w:name w:val="caption"/>
    <w:basedOn w:val="BodyText"/>
    <w:next w:val="Normal"/>
    <w:qFormat/>
    <w:rsid w:val="00746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7F2"/>
  </w:style>
  <w:style w:type="paragraph" w:styleId="TableofFigures">
    <w:name w:val="table of figures"/>
    <w:basedOn w:val="Normal"/>
    <w:next w:val="Normal"/>
    <w:semiHidden/>
    <w:rsid w:val="00746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7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7F2"/>
    <w:rPr>
      <w:rFonts w:ascii="Wingdings" w:hAnsi="Wingdings"/>
    </w:rPr>
  </w:style>
  <w:style w:type="paragraph" w:customStyle="1" w:styleId="TableHeading">
    <w:name w:val="Table Heading"/>
    <w:basedOn w:val="HeadingBase"/>
    <w:rsid w:val="00746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7F2"/>
    <w:rPr>
      <w:color w:val="0033CC"/>
      <w:u w:val="none"/>
    </w:rPr>
  </w:style>
  <w:style w:type="paragraph" w:customStyle="1" w:styleId="BodyTextRight">
    <w:name w:val="Body Text Right"/>
    <w:basedOn w:val="BodyText"/>
    <w:rsid w:val="00746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7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7F2"/>
    <w:rPr>
      <w:sz w:val="32"/>
    </w:rPr>
  </w:style>
  <w:style w:type="paragraph" w:customStyle="1" w:styleId="HeadingProcedure">
    <w:name w:val="Heading Procedure"/>
    <w:basedOn w:val="HeadingBase"/>
    <w:next w:val="Normal"/>
    <w:rsid w:val="00746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7F2"/>
    <w:pPr>
      <w:spacing w:before="60" w:after="60"/>
    </w:pPr>
  </w:style>
  <w:style w:type="paragraph" w:styleId="ListContinue">
    <w:name w:val="List Continue"/>
    <w:basedOn w:val="List"/>
    <w:rsid w:val="007467F2"/>
    <w:pPr>
      <w:ind w:firstLine="0"/>
    </w:pPr>
  </w:style>
  <w:style w:type="paragraph" w:customStyle="1" w:styleId="ListNote">
    <w:name w:val="List Note"/>
    <w:basedOn w:val="List"/>
    <w:rsid w:val="00746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7F2"/>
    <w:rPr>
      <w:rFonts w:ascii="Courier New" w:hAnsi="Courier New"/>
    </w:rPr>
  </w:style>
  <w:style w:type="paragraph" w:customStyle="1" w:styleId="NoteBullet">
    <w:name w:val="Note Bullet"/>
    <w:basedOn w:val="Note"/>
    <w:rsid w:val="00746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7F2"/>
    <w:rPr>
      <w:b/>
      <w:smallCaps/>
    </w:rPr>
  </w:style>
  <w:style w:type="paragraph" w:customStyle="1" w:styleId="TableListNumber">
    <w:name w:val="Table List Number"/>
    <w:basedOn w:val="ListNumber"/>
    <w:rsid w:val="00746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7F2"/>
    <w:pPr>
      <w:numPr>
        <w:numId w:val="9"/>
      </w:numPr>
    </w:pPr>
  </w:style>
  <w:style w:type="paragraph" w:customStyle="1" w:styleId="ListAlpha2">
    <w:name w:val="List Alpha 2"/>
    <w:basedOn w:val="List2"/>
    <w:rsid w:val="007467F2"/>
    <w:pPr>
      <w:numPr>
        <w:numId w:val="8"/>
      </w:numPr>
    </w:pPr>
  </w:style>
  <w:style w:type="paragraph" w:styleId="List2">
    <w:name w:val="List 2"/>
    <w:basedOn w:val="BodyText"/>
    <w:rsid w:val="00746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7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7F2"/>
    <w:pPr>
      <w:numPr>
        <w:numId w:val="4"/>
      </w:numPr>
    </w:pPr>
  </w:style>
  <w:style w:type="paragraph" w:styleId="ListContinue2">
    <w:name w:val="List Continue 2"/>
    <w:basedOn w:val="List2"/>
    <w:rsid w:val="007467F2"/>
    <w:pPr>
      <w:ind w:firstLine="0"/>
    </w:pPr>
  </w:style>
  <w:style w:type="paragraph" w:styleId="ListContinue3">
    <w:name w:val="List Continue 3"/>
    <w:basedOn w:val="List3"/>
    <w:rsid w:val="007467F2"/>
    <w:pPr>
      <w:ind w:left="1021" w:firstLine="0"/>
    </w:pPr>
  </w:style>
  <w:style w:type="paragraph" w:styleId="ListContinue4">
    <w:name w:val="List Continue 4"/>
    <w:basedOn w:val="List4"/>
    <w:rsid w:val="007467F2"/>
    <w:pPr>
      <w:ind w:firstLine="0"/>
    </w:pPr>
  </w:style>
  <w:style w:type="paragraph" w:styleId="ListContinue5">
    <w:name w:val="List Continue 5"/>
    <w:basedOn w:val="List5"/>
    <w:rsid w:val="007467F2"/>
    <w:pPr>
      <w:ind w:firstLine="0"/>
    </w:pPr>
  </w:style>
  <w:style w:type="paragraph" w:styleId="ListNumber3">
    <w:name w:val="List Number 3"/>
    <w:basedOn w:val="List3"/>
    <w:rsid w:val="007467F2"/>
    <w:pPr>
      <w:numPr>
        <w:numId w:val="5"/>
      </w:numPr>
    </w:pPr>
  </w:style>
  <w:style w:type="paragraph" w:styleId="ListNumber4">
    <w:name w:val="List Number 4"/>
    <w:basedOn w:val="List4"/>
    <w:rsid w:val="007467F2"/>
    <w:pPr>
      <w:numPr>
        <w:numId w:val="6"/>
      </w:numPr>
    </w:pPr>
  </w:style>
  <w:style w:type="paragraph" w:styleId="ListNumber5">
    <w:name w:val="List Number 5"/>
    <w:basedOn w:val="List5"/>
    <w:rsid w:val="007467F2"/>
    <w:pPr>
      <w:numPr>
        <w:numId w:val="7"/>
      </w:numPr>
    </w:pPr>
  </w:style>
  <w:style w:type="paragraph" w:styleId="BlockText">
    <w:name w:val="Block Text"/>
    <w:basedOn w:val="Normal"/>
    <w:rsid w:val="00746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7F2"/>
    <w:rPr>
      <w:sz w:val="16"/>
      <w:vertAlign w:val="superscript"/>
    </w:rPr>
  </w:style>
  <w:style w:type="character" w:customStyle="1" w:styleId="Symbols">
    <w:name w:val="Symbols"/>
    <w:basedOn w:val="DefaultParagraphFont"/>
    <w:rsid w:val="007467F2"/>
    <w:rPr>
      <w:rFonts w:ascii="Symbol" w:hAnsi="Symbol"/>
    </w:rPr>
  </w:style>
  <w:style w:type="character" w:customStyle="1" w:styleId="MenuOptions">
    <w:name w:val="Menu Options"/>
    <w:basedOn w:val="DefaultParagraphFont"/>
    <w:rsid w:val="00746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7F2"/>
    <w:rPr>
      <w:b/>
    </w:rPr>
  </w:style>
  <w:style w:type="character" w:customStyle="1" w:styleId="Underlined">
    <w:name w:val="Underlined"/>
    <w:basedOn w:val="DefaultParagraphFont"/>
    <w:rsid w:val="007467F2"/>
    <w:rPr>
      <w:u w:val="single"/>
    </w:rPr>
  </w:style>
  <w:style w:type="paragraph" w:customStyle="1" w:styleId="TableBodyTextRight">
    <w:name w:val="Table Body Text Right"/>
    <w:basedOn w:val="TableBodyText"/>
    <w:rsid w:val="00746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7F2"/>
    <w:rPr>
      <w:sz w:val="18"/>
    </w:rPr>
  </w:style>
  <w:style w:type="paragraph" w:customStyle="1" w:styleId="BodySmallRight">
    <w:name w:val="Body Small Right"/>
    <w:basedOn w:val="BodyTextRight"/>
    <w:rsid w:val="007467F2"/>
    <w:rPr>
      <w:sz w:val="18"/>
      <w:szCs w:val="18"/>
    </w:rPr>
  </w:style>
  <w:style w:type="paragraph" w:customStyle="1" w:styleId="MarginEdition">
    <w:name w:val="Margin Edition"/>
    <w:basedOn w:val="MarginNote"/>
    <w:rsid w:val="00746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7F2"/>
    <w:rPr>
      <w:sz w:val="2"/>
      <w:szCs w:val="2"/>
    </w:rPr>
  </w:style>
  <w:style w:type="character" w:customStyle="1" w:styleId="Small">
    <w:name w:val="Small"/>
    <w:basedOn w:val="DefaultParagraphFont"/>
    <w:rsid w:val="007467F2"/>
    <w:rPr>
      <w:sz w:val="16"/>
    </w:rPr>
  </w:style>
  <w:style w:type="paragraph" w:customStyle="1" w:styleId="WideTable">
    <w:name w:val="Wide Table"/>
    <w:basedOn w:val="Normal"/>
    <w:rsid w:val="00746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7F2"/>
  </w:style>
  <w:style w:type="paragraph" w:styleId="Quote">
    <w:name w:val="Quote"/>
    <w:basedOn w:val="Heading1"/>
    <w:link w:val="QuoteChar"/>
    <w:qFormat/>
    <w:rsid w:val="00746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7F2"/>
    <w:pPr>
      <w:pageBreakBefore/>
    </w:pPr>
  </w:style>
  <w:style w:type="paragraph" w:customStyle="1" w:styleId="Border">
    <w:name w:val="Border"/>
    <w:basedOn w:val="Normal"/>
    <w:qFormat/>
    <w:rsid w:val="00746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7F2"/>
    <w:rPr>
      <w:u w:val="single"/>
    </w:rPr>
  </w:style>
  <w:style w:type="character" w:customStyle="1" w:styleId="BoldandItalics">
    <w:name w:val="Bold and Italics"/>
    <w:qFormat/>
    <w:rsid w:val="007467F2"/>
    <w:rPr>
      <w:b/>
      <w:i/>
      <w:u w:val="none"/>
    </w:rPr>
  </w:style>
  <w:style w:type="paragraph" w:styleId="BalloonText">
    <w:name w:val="Balloon Text"/>
    <w:basedOn w:val="Normal"/>
    <w:link w:val="BalloonTextChar"/>
    <w:rsid w:val="00746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7F2"/>
    <w:pPr>
      <w:spacing w:before="0" w:after="0"/>
    </w:pPr>
  </w:style>
  <w:style w:type="paragraph" w:customStyle="1" w:styleId="BodyTextBold">
    <w:name w:val="Body Text Bold"/>
    <w:basedOn w:val="BodyText"/>
    <w:qFormat/>
    <w:rsid w:val="007467F2"/>
    <w:rPr>
      <w:b/>
    </w:rPr>
  </w:style>
  <w:style w:type="character" w:styleId="Hyperlink">
    <w:name w:val="Hyperlink"/>
    <w:basedOn w:val="DefaultParagraphFont"/>
    <w:uiPriority w:val="99"/>
    <w:unhideWhenUsed/>
    <w:rsid w:val="00BE6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2680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PMBPROD310E Produce injection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