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3AE2" w:rsidP="00D53A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PMBPROD308E Take a machine out of production</w:t>
      </w:r>
      <w:r>
        <w:fldChar w:fldCharType="end"/>
      </w:r>
    </w:p>
    <w:p w:rsidR="00D53AE2" w:rsidP="00D53AE2">
      <w:pPr>
        <w:pStyle w:val="Version"/>
        <w:sectPr w:rsidSect="009E41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417A" w:rsidP="009E417A">
      <w:pPr>
        <w:pStyle w:val="SuperHeading"/>
      </w:pPr>
      <w:r w:rsidRPr="009E417A">
        <w:t>Assessment Requirements for PMBPROD308E Take a machine out of production</w:t>
      </w:r>
    </w:p>
    <w:p w:rsidR="00000000" w:rsidRPr="009E417A" w:rsidP="009E417A">
      <w:pPr>
        <w:pStyle w:val="Heading1"/>
      </w:pPr>
      <w:bookmarkStart w:id="1" w:name="O_1114886"/>
      <w:bookmarkEnd w:id="1"/>
      <w:r w:rsidRPr="009E417A">
        <w:t>Modification History</w:t>
      </w:r>
    </w:p>
    <w:p w:rsidR="00000000" w:rsidRPr="009E417A" w:rsidP="00D53AE2">
      <w:pPr>
        <w:pStyle w:val="BodyText"/>
      </w:pPr>
      <w:r w:rsidRPr="009E417A">
        <w:t>Release 1. Unit code changed. Application changed. Elements and Performa</w:t>
      </w:r>
      <w:r w:rsidRPr="009E417A">
        <w:t>nce Criteria changed. Range of Conditions removed. Assessment Requirements changed. Supersedes and is equivalent to PMBPROD308 Take a machine out of production.</w:t>
      </w:r>
    </w:p>
    <w:p w:rsidR="00000000" w:rsidRPr="009E417A" w:rsidP="009E417A">
      <w:pPr>
        <w:pStyle w:val="Heading1"/>
      </w:pPr>
      <w:bookmarkStart w:id="2" w:name="O_1114887"/>
      <w:bookmarkEnd w:id="2"/>
      <w:r w:rsidRPr="009E417A">
        <w:t>Performance Evidence</w:t>
      </w:r>
    </w:p>
    <w:p w:rsidR="00000000" w:rsidRPr="009E417A" w:rsidP="00D53AE2">
      <w:pPr>
        <w:pStyle w:val="BodyText"/>
      </w:pPr>
      <w:r w:rsidRPr="009E417A">
        <w:t xml:space="preserve">There must be evidence the candidate has completed the </w:t>
      </w:r>
      <w:r w:rsidRPr="009E417A">
        <w:t>tasks outlined in the elements and performance criteria of this unit, and demonstrated the ability to:</w:t>
      </w:r>
    </w:p>
    <w:p w:rsidR="00000000" w:rsidRPr="009E417A" w:rsidP="009E417A">
      <w:pPr>
        <w:pStyle w:val="ListBullet"/>
      </w:pPr>
      <w:r w:rsidRPr="009E417A">
        <w:t>take a machine out of production at least once to support a long-term shutdown period where the equipment will need to be restored to production at a la</w:t>
      </w:r>
      <w:r w:rsidRPr="009E417A">
        <w:t>ter date.</w:t>
      </w:r>
    </w:p>
    <w:p w:rsidR="00000000" w:rsidRPr="009E417A" w:rsidP="009E417A">
      <w:pPr>
        <w:pStyle w:val="AllowPageBreak"/>
      </w:pPr>
    </w:p>
    <w:p w:rsidR="00000000" w:rsidRPr="009E417A" w:rsidP="009E417A">
      <w:pPr>
        <w:pStyle w:val="Heading1"/>
      </w:pPr>
      <w:bookmarkStart w:id="3" w:name="O_1114888"/>
      <w:bookmarkEnd w:id="3"/>
      <w:r w:rsidRPr="009E417A">
        <w:t>Knowledge Evidence</w:t>
      </w:r>
    </w:p>
    <w:p w:rsidR="00000000" w:rsidRPr="009E417A" w:rsidP="00D53AE2">
      <w:pPr>
        <w:pStyle w:val="BodyText"/>
      </w:pPr>
      <w:r w:rsidRPr="009E417A">
        <w:t xml:space="preserve">There must be evidence the candidate has knowledge of: </w:t>
      </w:r>
    </w:p>
    <w:p w:rsidR="00000000" w:rsidRPr="009E417A" w:rsidP="009E417A">
      <w:pPr>
        <w:pStyle w:val="ListBullet"/>
      </w:pPr>
      <w:r w:rsidRPr="009E417A">
        <w:t>the structure, functions and principles of operation of equipment, machine components and ancillary equipment, including:</w:t>
      </w:r>
    </w:p>
    <w:p w:rsidR="00000000" w:rsidRPr="009E417A" w:rsidP="009E417A">
      <w:pPr>
        <w:pStyle w:val="ListBullet2"/>
      </w:pPr>
      <w:r w:rsidRPr="009E417A">
        <w:t>production plant and equipme</w:t>
      </w:r>
      <w:r w:rsidRPr="009E417A">
        <w:t>nt</w:t>
      </w:r>
    </w:p>
    <w:p w:rsidR="00000000" w:rsidRPr="009E417A" w:rsidP="009E417A">
      <w:pPr>
        <w:pStyle w:val="ListBullet2"/>
      </w:pPr>
      <w:r w:rsidRPr="009E417A">
        <w:t>machine control systems</w:t>
      </w:r>
    </w:p>
    <w:p w:rsidR="00000000" w:rsidRPr="009E417A" w:rsidP="009E417A">
      <w:pPr>
        <w:pStyle w:val="ListBullet2"/>
      </w:pPr>
      <w:r w:rsidRPr="009E417A">
        <w:t>safety interlocks and systems</w:t>
      </w:r>
    </w:p>
    <w:p w:rsidR="00000000" w:rsidRPr="009E417A" w:rsidP="009E417A">
      <w:pPr>
        <w:pStyle w:val="ListBullet2"/>
      </w:pPr>
      <w:r w:rsidRPr="009E417A">
        <w:t>measuring instruments</w:t>
      </w:r>
    </w:p>
    <w:p w:rsidR="00000000" w:rsidRPr="009E417A" w:rsidP="009E417A">
      <w:pPr>
        <w:pStyle w:val="ListBullet"/>
      </w:pPr>
      <w:r w:rsidRPr="009E417A">
        <w:t>the functions and applications of analogue controls, digital controls, and microprocessor-based process controls</w:t>
      </w:r>
    </w:p>
    <w:p w:rsidR="00000000" w:rsidRPr="009E417A" w:rsidP="009E417A">
      <w:pPr>
        <w:pStyle w:val="ListBullet"/>
      </w:pPr>
      <w:r w:rsidRPr="009E417A">
        <w:t>types of and reasons for machine shutdown, and the procedures associated with each</w:t>
      </w:r>
    </w:p>
    <w:p w:rsidR="00000000" w:rsidRPr="009E417A" w:rsidP="009E417A">
      <w:pPr>
        <w:pStyle w:val="ListBullet"/>
      </w:pPr>
      <w:r w:rsidRPr="009E417A">
        <w:t>types of machine purging and the appropriate application of each</w:t>
      </w:r>
    </w:p>
    <w:p w:rsidR="00000000" w:rsidRPr="009E417A" w:rsidP="009E417A">
      <w:pPr>
        <w:pStyle w:val="ListBullet"/>
      </w:pPr>
      <w:r w:rsidRPr="009E417A">
        <w:t>the criteria for overall process/equipment readiness for the process or equipment being used</w:t>
      </w:r>
    </w:p>
    <w:p w:rsidR="00000000" w:rsidRPr="009E417A" w:rsidP="009E417A">
      <w:pPr>
        <w:pStyle w:val="ListBullet"/>
      </w:pPr>
      <w:r w:rsidRPr="009E417A">
        <w:t>function of and</w:t>
      </w:r>
      <w:r w:rsidRPr="009E417A">
        <w:t xml:space="preserve"> readings from measuring instruments, including:</w:t>
      </w:r>
    </w:p>
    <w:p w:rsidR="00000000" w:rsidRPr="009E417A" w:rsidP="009E417A">
      <w:pPr>
        <w:pStyle w:val="ListBullet2"/>
      </w:pPr>
      <w:r w:rsidRPr="009E417A">
        <w:t xml:space="preserve">levelling </w:t>
      </w:r>
    </w:p>
    <w:p w:rsidR="00000000" w:rsidRPr="009E417A" w:rsidP="009E417A">
      <w:pPr>
        <w:pStyle w:val="ListBullet2"/>
      </w:pPr>
      <w:r w:rsidRPr="009E417A">
        <w:t>thermocouples</w:t>
      </w:r>
    </w:p>
    <w:p w:rsidR="00000000" w:rsidRPr="009E417A" w:rsidP="009E417A">
      <w:pPr>
        <w:pStyle w:val="ListBullet2"/>
      </w:pPr>
      <w:r w:rsidRPr="009E417A">
        <w:t>pyrometers</w:t>
      </w:r>
    </w:p>
    <w:p w:rsidR="00000000" w:rsidRPr="009E417A" w:rsidP="009E417A">
      <w:pPr>
        <w:pStyle w:val="ListBullet2"/>
      </w:pPr>
      <w:r w:rsidRPr="009E417A">
        <w:t>transducers</w:t>
      </w:r>
    </w:p>
    <w:p w:rsidR="00000000" w:rsidRPr="009E417A" w:rsidP="009E417A">
      <w:pPr>
        <w:pStyle w:val="ListBullet2"/>
      </w:pPr>
      <w:r w:rsidRPr="009E417A">
        <w:t xml:space="preserve">thermometers </w:t>
      </w:r>
    </w:p>
    <w:p w:rsidR="00000000" w:rsidRPr="009E417A" w:rsidP="009E417A">
      <w:pPr>
        <w:pStyle w:val="ListBullet2"/>
      </w:pPr>
      <w:r w:rsidRPr="009E417A">
        <w:t>pressure gauges</w:t>
      </w:r>
    </w:p>
    <w:p w:rsidR="00000000" w:rsidRPr="009E417A" w:rsidP="009E417A">
      <w:pPr>
        <w:pStyle w:val="ListBullet2"/>
      </w:pPr>
      <w:r w:rsidRPr="009E417A">
        <w:t xml:space="preserve">vacuum gauges </w:t>
      </w:r>
    </w:p>
    <w:p w:rsidR="00000000" w:rsidRPr="009E417A" w:rsidP="009E417A">
      <w:pPr>
        <w:pStyle w:val="ListBullet2"/>
      </w:pPr>
      <w:r w:rsidRPr="009E417A">
        <w:t>flow meters</w:t>
      </w:r>
    </w:p>
    <w:p w:rsidR="00000000" w:rsidRPr="009E417A" w:rsidP="009E417A">
      <w:pPr>
        <w:pStyle w:val="ListBullet"/>
      </w:pPr>
      <w:r w:rsidRPr="009E417A">
        <w:t>purpose and operation of safety interlocks and systems, including:</w:t>
      </w:r>
    </w:p>
    <w:p w:rsidR="00000000" w:rsidRPr="009E417A" w:rsidP="009E417A">
      <w:pPr>
        <w:pStyle w:val="ListBullet2"/>
      </w:pPr>
      <w:r w:rsidRPr="009E417A">
        <w:t xml:space="preserve">limit switches </w:t>
      </w:r>
    </w:p>
    <w:p w:rsidR="00000000" w:rsidRPr="009E417A" w:rsidP="009E417A">
      <w:pPr>
        <w:pStyle w:val="ListBullet2"/>
      </w:pPr>
      <w:r w:rsidRPr="009E417A">
        <w:t>machine guards</w:t>
      </w:r>
    </w:p>
    <w:p w:rsidR="00000000" w:rsidRPr="009E417A" w:rsidP="009E417A">
      <w:pPr>
        <w:pStyle w:val="ListBullet"/>
      </w:pPr>
      <w:r w:rsidRPr="009E417A">
        <w:t>methods and materials for purging equipment, and their combinations and applications</w:t>
      </w:r>
    </w:p>
    <w:p w:rsidR="00000000" w:rsidRPr="009E417A" w:rsidP="009E417A">
      <w:pPr>
        <w:pStyle w:val="ListBullet"/>
      </w:pPr>
      <w:r w:rsidRPr="009E417A">
        <w:t>key variables that may affect product quality and production output</w:t>
      </w:r>
    </w:p>
    <w:p w:rsidR="00000000" w:rsidRPr="009E417A" w:rsidP="009E417A">
      <w:pPr>
        <w:pStyle w:val="ListBullet"/>
      </w:pPr>
      <w:r w:rsidRPr="009E417A">
        <w:t>typical and atypical process and product problems, including early warning signs, possible causes and c</w:t>
      </w:r>
      <w:r w:rsidRPr="009E417A">
        <w:t>orrective actions:</w:t>
      </w:r>
    </w:p>
    <w:p w:rsidR="00000000" w:rsidRPr="009E417A" w:rsidP="009E417A">
      <w:pPr>
        <w:pStyle w:val="ListBullet2"/>
      </w:pPr>
      <w:r w:rsidRPr="009E417A">
        <w:t>cycle interruptions</w:t>
      </w:r>
    </w:p>
    <w:p w:rsidR="00000000" w:rsidRPr="009E417A" w:rsidP="009E417A">
      <w:pPr>
        <w:pStyle w:val="ListBullet2"/>
      </w:pPr>
      <w:r w:rsidRPr="009E417A">
        <w:t>degradation of materials</w:t>
      </w:r>
    </w:p>
    <w:p w:rsidR="00000000" w:rsidRPr="009E417A" w:rsidP="009E417A">
      <w:pPr>
        <w:pStyle w:val="ListBullet2"/>
      </w:pPr>
      <w:r w:rsidRPr="009E417A">
        <w:t>cooling and solidification of compounds</w:t>
      </w:r>
    </w:p>
    <w:p w:rsidR="00000000" w:rsidRPr="009E417A" w:rsidP="009E417A">
      <w:pPr>
        <w:pStyle w:val="ListBullet2"/>
      </w:pPr>
      <w:r w:rsidRPr="009E417A">
        <w:t>rusting and corrosion of moulds put in storage</w:t>
      </w:r>
    </w:p>
    <w:p w:rsidR="00000000" w:rsidRPr="009E417A" w:rsidP="009E417A">
      <w:pPr>
        <w:pStyle w:val="ListBullet"/>
      </w:pPr>
      <w:r w:rsidRPr="009E417A">
        <w:t>organisational procedures relevant to the work environment or job role, including procedures for the em</w:t>
      </w:r>
      <w:r w:rsidRPr="009E417A">
        <w:t>ergency shutdown of equipment</w:t>
      </w:r>
    </w:p>
    <w:p w:rsidR="00000000" w:rsidRPr="009E417A" w:rsidP="009E417A">
      <w:pPr>
        <w:pStyle w:val="ListBullet"/>
      </w:pPr>
      <w:r w:rsidRPr="009E417A">
        <w:t>hazards that may arise in the job or work environment, and:</w:t>
      </w:r>
    </w:p>
    <w:p w:rsidR="00000000" w:rsidRPr="009E417A" w:rsidP="009E417A">
      <w:pPr>
        <w:pStyle w:val="ListBullet2"/>
      </w:pPr>
      <w:r w:rsidRPr="009E417A">
        <w:t>their possible causes</w:t>
      </w:r>
    </w:p>
    <w:p w:rsidR="00000000" w:rsidRPr="009E417A" w:rsidP="009E417A">
      <w:pPr>
        <w:pStyle w:val="ListBullet2"/>
      </w:pPr>
      <w:r w:rsidRPr="009E417A">
        <w:t>potential consequences</w:t>
      </w:r>
    </w:p>
    <w:p w:rsidR="00000000" w:rsidRPr="009E417A" w:rsidP="009E417A">
      <w:pPr>
        <w:pStyle w:val="ListBullet2"/>
      </w:pPr>
      <w:r w:rsidRPr="009E417A">
        <w:t>appropriate risk controls.</w:t>
      </w:r>
    </w:p>
    <w:p w:rsidR="00000000" w:rsidRPr="009E417A" w:rsidP="009E417A">
      <w:pPr>
        <w:pStyle w:val="AllowPageBreak"/>
      </w:pPr>
    </w:p>
    <w:p w:rsidR="00000000" w:rsidRPr="009E417A" w:rsidP="009E417A">
      <w:pPr>
        <w:pStyle w:val="Heading1"/>
      </w:pPr>
      <w:bookmarkStart w:id="4" w:name="O_1114889"/>
      <w:bookmarkEnd w:id="4"/>
      <w:r w:rsidRPr="009E417A">
        <w:t>Assessment Conditions</w:t>
      </w:r>
    </w:p>
    <w:p w:rsidR="00000000" w:rsidRPr="009E417A" w:rsidP="00D53AE2">
      <w:pPr>
        <w:pStyle w:val="BodyText"/>
      </w:pPr>
      <w:r w:rsidRPr="009E417A">
        <w:t xml:space="preserve">Skills must have been demonstrated in the workplace or in a simulated environment that reflects workplace conditions and contingencies. </w:t>
      </w:r>
    </w:p>
    <w:p w:rsidR="00D53AE2" w:rsidP="00D53AE2">
      <w:pPr>
        <w:pStyle w:val="BodyText"/>
      </w:pPr>
      <w:r w:rsidRPr="009E417A">
        <w:t>Assessors must satisfy the NVR/AQTF mandatory competency requirements for assessors.</w:t>
      </w:r>
    </w:p>
    <w:p w:rsidR="00000000" w:rsidRPr="009E417A" w:rsidP="009E417A">
      <w:pPr>
        <w:pStyle w:val="Heading1"/>
      </w:pPr>
      <w:bookmarkStart w:id="5" w:name="O_1114892"/>
      <w:bookmarkEnd w:id="5"/>
      <w:r w:rsidRPr="009E417A">
        <w:t>Links</w:t>
      </w:r>
    </w:p>
    <w:p w:rsidR="00000000" w:rsidRPr="009E417A" w:rsidP="00D53AE2">
      <w:pPr>
        <w:pStyle w:val="BodyText"/>
      </w:pPr>
      <w:r w:rsidRPr="009E417A">
        <w:t>Companio</w:t>
      </w:r>
      <w:r w:rsidRPr="009E417A">
        <w:t xml:space="preserve">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5318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E417A" w:rsidP="009E417A"/>
    <w:sectPr w:rsidSect="009E41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1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17A" w:rsidRPr="00D53AE2" w:rsidP="00D53A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1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AE2" w:rsidP="009E4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3AE2" w:rsidP="009E4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53AE2" w:rsidP="009E41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1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A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417A" w:rsidRPr="00D53AE2" w:rsidP="00D53A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1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AE2" w:rsidRPr="002D2AF8" w:rsidP="009E4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PMBPROD308E Take a machine out of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D53AE2" w:rsidP="009E41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8A46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4C3B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E426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1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1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1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1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1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1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1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1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1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1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1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17A"/>
  </w:style>
  <w:style w:type="character" w:customStyle="1" w:styleId="Heading1Char">
    <w:name w:val="Heading 1 Char"/>
    <w:basedOn w:val="DefaultParagraphFont"/>
    <w:link w:val="Heading1"/>
    <w:rsid w:val="009E41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41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1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41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41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41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41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41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1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1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1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1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1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1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1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1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1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1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1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1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1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41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41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417A"/>
    <w:rPr>
      <w:b/>
      <w:spacing w:val="0"/>
    </w:rPr>
  </w:style>
  <w:style w:type="paragraph" w:customStyle="1" w:styleId="SuperTitle">
    <w:name w:val="SuperTitle"/>
    <w:basedOn w:val="Title"/>
    <w:rsid w:val="009E41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1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1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41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1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1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1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1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1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1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1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1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417A"/>
    <w:rPr>
      <w:i/>
    </w:rPr>
  </w:style>
  <w:style w:type="paragraph" w:styleId="Caption">
    <w:name w:val="caption"/>
    <w:basedOn w:val="BodyText"/>
    <w:next w:val="Normal"/>
    <w:qFormat/>
    <w:rsid w:val="009E41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1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1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17A"/>
  </w:style>
  <w:style w:type="paragraph" w:styleId="TableofFigures">
    <w:name w:val="table of figures"/>
    <w:basedOn w:val="Normal"/>
    <w:next w:val="Normal"/>
    <w:semiHidden/>
    <w:rsid w:val="009E41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1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417A"/>
    <w:rPr>
      <w:rFonts w:ascii="Wingdings" w:hAnsi="Wingdings"/>
    </w:rPr>
  </w:style>
  <w:style w:type="paragraph" w:customStyle="1" w:styleId="TableHeading">
    <w:name w:val="Table Heading"/>
    <w:basedOn w:val="HeadingBase"/>
    <w:rsid w:val="009E41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417A"/>
    <w:rPr>
      <w:color w:val="0033CC"/>
      <w:u w:val="none"/>
    </w:rPr>
  </w:style>
  <w:style w:type="paragraph" w:customStyle="1" w:styleId="BodyTextRight">
    <w:name w:val="Body Text Right"/>
    <w:basedOn w:val="BodyText"/>
    <w:rsid w:val="009E41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1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1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1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1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1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17A"/>
    <w:rPr>
      <w:sz w:val="32"/>
    </w:rPr>
  </w:style>
  <w:style w:type="paragraph" w:customStyle="1" w:styleId="HeadingProcedure">
    <w:name w:val="Heading Procedure"/>
    <w:basedOn w:val="HeadingBase"/>
    <w:next w:val="Normal"/>
    <w:rsid w:val="009E41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17A"/>
    <w:pPr>
      <w:spacing w:before="60" w:after="60"/>
    </w:pPr>
  </w:style>
  <w:style w:type="paragraph" w:styleId="ListContinue">
    <w:name w:val="List Continue"/>
    <w:basedOn w:val="List"/>
    <w:rsid w:val="009E417A"/>
    <w:pPr>
      <w:ind w:firstLine="0"/>
    </w:pPr>
  </w:style>
  <w:style w:type="paragraph" w:customStyle="1" w:styleId="ListNote">
    <w:name w:val="List Note"/>
    <w:basedOn w:val="List"/>
    <w:rsid w:val="009E41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1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1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17A"/>
    <w:rPr>
      <w:rFonts w:ascii="Courier New" w:hAnsi="Courier New"/>
    </w:rPr>
  </w:style>
  <w:style w:type="paragraph" w:customStyle="1" w:styleId="NoteBullet">
    <w:name w:val="Note Bullet"/>
    <w:basedOn w:val="Note"/>
    <w:rsid w:val="009E41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1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1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1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1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41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1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17A"/>
    <w:rPr>
      <w:b/>
      <w:smallCaps/>
    </w:rPr>
  </w:style>
  <w:style w:type="paragraph" w:customStyle="1" w:styleId="TableListNumber">
    <w:name w:val="Table List Number"/>
    <w:basedOn w:val="ListNumber"/>
    <w:rsid w:val="009E41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1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17A"/>
    <w:pPr>
      <w:numPr>
        <w:numId w:val="9"/>
      </w:numPr>
    </w:pPr>
  </w:style>
  <w:style w:type="paragraph" w:customStyle="1" w:styleId="ListAlpha2">
    <w:name w:val="List Alpha 2"/>
    <w:basedOn w:val="List2"/>
    <w:rsid w:val="009E417A"/>
    <w:pPr>
      <w:numPr>
        <w:numId w:val="8"/>
      </w:numPr>
    </w:pPr>
  </w:style>
  <w:style w:type="paragraph" w:styleId="List2">
    <w:name w:val="List 2"/>
    <w:basedOn w:val="BodyText"/>
    <w:rsid w:val="009E41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1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1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1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1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1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417A"/>
    <w:pPr>
      <w:numPr>
        <w:numId w:val="4"/>
      </w:numPr>
    </w:pPr>
  </w:style>
  <w:style w:type="paragraph" w:styleId="ListContinue2">
    <w:name w:val="List Continue 2"/>
    <w:basedOn w:val="List2"/>
    <w:rsid w:val="009E417A"/>
    <w:pPr>
      <w:ind w:firstLine="0"/>
    </w:pPr>
  </w:style>
  <w:style w:type="paragraph" w:styleId="ListContinue3">
    <w:name w:val="List Continue 3"/>
    <w:basedOn w:val="List3"/>
    <w:rsid w:val="009E417A"/>
    <w:pPr>
      <w:ind w:left="1021" w:firstLine="0"/>
    </w:pPr>
  </w:style>
  <w:style w:type="paragraph" w:styleId="ListContinue4">
    <w:name w:val="List Continue 4"/>
    <w:basedOn w:val="List4"/>
    <w:rsid w:val="009E417A"/>
    <w:pPr>
      <w:ind w:firstLine="0"/>
    </w:pPr>
  </w:style>
  <w:style w:type="paragraph" w:styleId="ListContinue5">
    <w:name w:val="List Continue 5"/>
    <w:basedOn w:val="List5"/>
    <w:rsid w:val="009E417A"/>
    <w:pPr>
      <w:ind w:firstLine="0"/>
    </w:pPr>
  </w:style>
  <w:style w:type="paragraph" w:styleId="ListNumber3">
    <w:name w:val="List Number 3"/>
    <w:basedOn w:val="List3"/>
    <w:rsid w:val="009E417A"/>
    <w:pPr>
      <w:numPr>
        <w:numId w:val="5"/>
      </w:numPr>
    </w:pPr>
  </w:style>
  <w:style w:type="paragraph" w:styleId="ListNumber4">
    <w:name w:val="List Number 4"/>
    <w:basedOn w:val="List4"/>
    <w:rsid w:val="009E417A"/>
    <w:pPr>
      <w:numPr>
        <w:numId w:val="6"/>
      </w:numPr>
    </w:pPr>
  </w:style>
  <w:style w:type="paragraph" w:styleId="ListNumber5">
    <w:name w:val="List Number 5"/>
    <w:basedOn w:val="List5"/>
    <w:rsid w:val="009E417A"/>
    <w:pPr>
      <w:numPr>
        <w:numId w:val="7"/>
      </w:numPr>
    </w:pPr>
  </w:style>
  <w:style w:type="paragraph" w:styleId="BlockText">
    <w:name w:val="Block Text"/>
    <w:basedOn w:val="Normal"/>
    <w:rsid w:val="009E41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1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17A"/>
    <w:rPr>
      <w:sz w:val="16"/>
      <w:vertAlign w:val="superscript"/>
    </w:rPr>
  </w:style>
  <w:style w:type="character" w:customStyle="1" w:styleId="Symbols">
    <w:name w:val="Symbols"/>
    <w:basedOn w:val="DefaultParagraphFont"/>
    <w:rsid w:val="009E417A"/>
    <w:rPr>
      <w:rFonts w:ascii="Symbol" w:hAnsi="Symbol"/>
    </w:rPr>
  </w:style>
  <w:style w:type="character" w:customStyle="1" w:styleId="MenuOptions">
    <w:name w:val="Menu Options"/>
    <w:basedOn w:val="DefaultParagraphFont"/>
    <w:rsid w:val="009E41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17A"/>
    <w:rPr>
      <w:b/>
    </w:rPr>
  </w:style>
  <w:style w:type="character" w:customStyle="1" w:styleId="Underlined">
    <w:name w:val="Underlined"/>
    <w:basedOn w:val="DefaultParagraphFont"/>
    <w:rsid w:val="009E417A"/>
    <w:rPr>
      <w:u w:val="single"/>
    </w:rPr>
  </w:style>
  <w:style w:type="paragraph" w:customStyle="1" w:styleId="TableBodyTextRight">
    <w:name w:val="Table Body Text Right"/>
    <w:basedOn w:val="TableBodyText"/>
    <w:rsid w:val="009E41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17A"/>
    <w:rPr>
      <w:sz w:val="18"/>
    </w:rPr>
  </w:style>
  <w:style w:type="paragraph" w:customStyle="1" w:styleId="BodySmallRight">
    <w:name w:val="Body Small Right"/>
    <w:basedOn w:val="BodyTextRight"/>
    <w:rsid w:val="009E417A"/>
    <w:rPr>
      <w:sz w:val="18"/>
      <w:szCs w:val="18"/>
    </w:rPr>
  </w:style>
  <w:style w:type="paragraph" w:customStyle="1" w:styleId="MarginEdition">
    <w:name w:val="Margin Edition"/>
    <w:basedOn w:val="MarginNote"/>
    <w:rsid w:val="009E41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17A"/>
    <w:rPr>
      <w:sz w:val="2"/>
      <w:szCs w:val="2"/>
    </w:rPr>
  </w:style>
  <w:style w:type="character" w:customStyle="1" w:styleId="Small">
    <w:name w:val="Small"/>
    <w:basedOn w:val="DefaultParagraphFont"/>
    <w:rsid w:val="009E417A"/>
    <w:rPr>
      <w:sz w:val="16"/>
    </w:rPr>
  </w:style>
  <w:style w:type="paragraph" w:customStyle="1" w:styleId="WideTable">
    <w:name w:val="Wide Table"/>
    <w:basedOn w:val="Normal"/>
    <w:rsid w:val="009E41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17A"/>
  </w:style>
  <w:style w:type="paragraph" w:styleId="Quote">
    <w:name w:val="Quote"/>
    <w:basedOn w:val="Heading1"/>
    <w:link w:val="QuoteChar"/>
    <w:qFormat/>
    <w:rsid w:val="009E41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1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17A"/>
    <w:pPr>
      <w:pageBreakBefore/>
    </w:pPr>
  </w:style>
  <w:style w:type="paragraph" w:customStyle="1" w:styleId="Border">
    <w:name w:val="Border"/>
    <w:basedOn w:val="Normal"/>
    <w:qFormat/>
    <w:rsid w:val="009E41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1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1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1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1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1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1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1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1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17A"/>
    <w:rPr>
      <w:u w:val="single"/>
    </w:rPr>
  </w:style>
  <w:style w:type="character" w:customStyle="1" w:styleId="BoldandItalics">
    <w:name w:val="Bold and Italics"/>
    <w:qFormat/>
    <w:rsid w:val="009E417A"/>
    <w:rPr>
      <w:b/>
      <w:i/>
      <w:u w:val="none"/>
    </w:rPr>
  </w:style>
  <w:style w:type="paragraph" w:styleId="BalloonText">
    <w:name w:val="Balloon Text"/>
    <w:basedOn w:val="Normal"/>
    <w:link w:val="BalloonTextChar"/>
    <w:rsid w:val="009E4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1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1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1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1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1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417A"/>
    <w:pPr>
      <w:spacing w:before="0" w:after="0"/>
    </w:pPr>
  </w:style>
  <w:style w:type="paragraph" w:customStyle="1" w:styleId="BodyTextBold">
    <w:name w:val="Body Text Bold"/>
    <w:basedOn w:val="BodyText"/>
    <w:qFormat/>
    <w:rsid w:val="009E417A"/>
    <w:rPr>
      <w:b/>
    </w:rPr>
  </w:style>
  <w:style w:type="character" w:styleId="Hyperlink">
    <w:name w:val="Hyperlink"/>
    <w:basedOn w:val="DefaultParagraphFont"/>
    <w:uiPriority w:val="99"/>
    <w:unhideWhenUsed/>
    <w:rsid w:val="00D53A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2536</Characters>
  <Application>Microsoft Office Word</Application>
  <DocSecurity>0</DocSecurity>
  <Lines>72</Lines>
  <Paragraphs>57</Paragraphs>
  <ScaleCrop>false</ScaleCrop>
  <Company>Author-it Software Corporation Ltd.</Company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PMBPROD308E Take a machine out of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2022-03-25T00:55:00Z</dcterms:created>
  <dcterms:modified xsi:type="dcterms:W3CDTF">2022-03-25T00:55:00Z</dcterms:modified>
</cp:coreProperties>
</file>