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314" w:rsidP="00375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PMBPROD301E Draw wire</w:t>
      </w:r>
      <w:r>
        <w:fldChar w:fldCharType="end"/>
      </w:r>
    </w:p>
    <w:p w:rsidR="00375314" w:rsidP="00375314">
      <w:pPr>
        <w:pStyle w:val="Version"/>
        <w:sectPr w:rsidSect="007F6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8AF" w:rsidP="007F68AF">
      <w:pPr>
        <w:pStyle w:val="SuperHeading"/>
      </w:pPr>
      <w:r w:rsidRPr="007F68AF">
        <w:t>Assessment Requirements for PMBPROD301E Draw wire</w:t>
      </w:r>
    </w:p>
    <w:p w:rsidR="00000000" w:rsidRPr="007F68AF" w:rsidP="007F68AF">
      <w:pPr>
        <w:pStyle w:val="Heading1"/>
      </w:pPr>
      <w:bookmarkStart w:id="1" w:name="O_1114772"/>
      <w:bookmarkEnd w:id="1"/>
      <w:r w:rsidRPr="007F68AF">
        <w:t>Modification History</w:t>
      </w:r>
    </w:p>
    <w:p w:rsidR="00000000" w:rsidRPr="007F68AF" w:rsidP="00375314">
      <w:pPr>
        <w:pStyle w:val="BodyText"/>
      </w:pPr>
      <w:r w:rsidRPr="007F68AF">
        <w:t>Release 1. Unit code changed. Application changed. Elements and Performance Criteria changed. Range of Conditions removed. Assessment Requirements changed. Supersedes and is equivalent to PMBPROD301 Draw wire.</w:t>
      </w:r>
    </w:p>
    <w:p w:rsidR="00000000" w:rsidRPr="007F68AF" w:rsidP="007F68AF">
      <w:pPr>
        <w:pStyle w:val="Heading1"/>
      </w:pPr>
      <w:bookmarkStart w:id="2" w:name="O_1114773"/>
      <w:bookmarkEnd w:id="2"/>
      <w:r w:rsidRPr="007F68AF">
        <w:t>Performance Evidence</w:t>
      </w:r>
    </w:p>
    <w:p w:rsidR="00000000" w:rsidRPr="007F68AF" w:rsidP="00375314">
      <w:pPr>
        <w:pStyle w:val="BodyText"/>
      </w:pPr>
      <w:r w:rsidRPr="007F68AF">
        <w:t>There must be evidence the candidate has completed the tasks outlined in the elements and performance criteria of this unit, and demonstrated the ability to:</w:t>
      </w:r>
    </w:p>
    <w:p w:rsidR="00000000" w:rsidRPr="007F68AF" w:rsidP="007F68AF">
      <w:pPr>
        <w:pStyle w:val="ListBullet"/>
      </w:pPr>
      <w:r w:rsidRPr="007F68AF">
        <w:t>draw wire at least once to meet job specifications.</w:t>
      </w:r>
    </w:p>
    <w:p w:rsidR="00000000" w:rsidRPr="007F68AF" w:rsidP="007F68AF">
      <w:pPr>
        <w:pStyle w:val="AllowPageBreak"/>
      </w:pPr>
    </w:p>
    <w:p w:rsidR="00000000" w:rsidRPr="007F68AF" w:rsidP="007F68AF">
      <w:pPr>
        <w:pStyle w:val="Heading1"/>
      </w:pPr>
      <w:bookmarkStart w:id="3" w:name="O_1114774"/>
      <w:bookmarkEnd w:id="3"/>
      <w:r w:rsidRPr="007F68AF">
        <w:t>Kn</w:t>
      </w:r>
      <w:r w:rsidRPr="007F68AF">
        <w:t>owledge Evidence</w:t>
      </w:r>
    </w:p>
    <w:p w:rsidR="00000000" w:rsidRPr="007F68AF" w:rsidP="00375314">
      <w:pPr>
        <w:pStyle w:val="BodyText"/>
      </w:pPr>
      <w:r w:rsidRPr="007F68AF">
        <w:t>There must be evidence the candidate has knowledge of:</w:t>
      </w:r>
    </w:p>
    <w:p w:rsidR="00000000" w:rsidRPr="007F68AF" w:rsidP="007F68AF">
      <w:pPr>
        <w:pStyle w:val="ListBullet"/>
      </w:pPr>
      <w:r w:rsidRPr="007F68AF">
        <w:t xml:space="preserve">products, materials and material characteristics </w:t>
      </w:r>
    </w:p>
    <w:p w:rsidR="00000000" w:rsidRPr="007F68AF" w:rsidP="007F68AF">
      <w:pPr>
        <w:pStyle w:val="ListBullet"/>
      </w:pPr>
      <w:r w:rsidRPr="007F68AF">
        <w:t xml:space="preserve">behaviour of materials in relation to key process variables </w:t>
      </w:r>
    </w:p>
    <w:p w:rsidR="00000000" w:rsidRPr="007F68AF" w:rsidP="007F68AF">
      <w:pPr>
        <w:pStyle w:val="ListBullet"/>
      </w:pPr>
      <w:r w:rsidRPr="007F68AF">
        <w:t>function and operating principles of wire drawing equipment, equipment c</w:t>
      </w:r>
      <w:r w:rsidRPr="007F68AF">
        <w:t>omponents and ancillary equipment, including:</w:t>
      </w:r>
    </w:p>
    <w:p w:rsidR="00000000" w:rsidRPr="007F68AF" w:rsidP="007F68AF">
      <w:pPr>
        <w:pStyle w:val="ListBullet2"/>
      </w:pPr>
      <w:r w:rsidRPr="007F68AF">
        <w:t>wire-drawing dies</w:t>
      </w:r>
    </w:p>
    <w:p w:rsidR="00000000" w:rsidRPr="007F68AF" w:rsidP="007F68AF">
      <w:pPr>
        <w:pStyle w:val="ListBullet2"/>
      </w:pPr>
      <w:r w:rsidRPr="007F68AF">
        <w:t>hand tools</w:t>
      </w:r>
    </w:p>
    <w:p w:rsidR="00000000" w:rsidRPr="007F68AF" w:rsidP="007F68AF">
      <w:pPr>
        <w:pStyle w:val="ListBullet2"/>
      </w:pPr>
      <w:r w:rsidRPr="007F68AF">
        <w:t>pointers</w:t>
      </w:r>
    </w:p>
    <w:p w:rsidR="00000000" w:rsidRPr="007F68AF" w:rsidP="007F68AF">
      <w:pPr>
        <w:pStyle w:val="ListBullet2"/>
      </w:pPr>
      <w:r w:rsidRPr="007F68AF">
        <w:t>taggers</w:t>
      </w:r>
    </w:p>
    <w:p w:rsidR="00000000" w:rsidRPr="007F68AF" w:rsidP="007F68AF">
      <w:pPr>
        <w:pStyle w:val="ListBullet2"/>
      </w:pPr>
      <w:r w:rsidRPr="007F68AF">
        <w:t>welders</w:t>
      </w:r>
    </w:p>
    <w:p w:rsidR="00000000" w:rsidRPr="007F68AF" w:rsidP="007F68AF">
      <w:pPr>
        <w:pStyle w:val="ListBullet2"/>
      </w:pPr>
      <w:r w:rsidRPr="007F68AF">
        <w:t>lubrication systems</w:t>
      </w:r>
    </w:p>
    <w:p w:rsidR="00000000" w:rsidRPr="007F68AF" w:rsidP="007F68AF">
      <w:pPr>
        <w:pStyle w:val="ListBullet"/>
      </w:pPr>
      <w:r w:rsidRPr="007F68AF">
        <w:t>wire drawing manufacturing processes</w:t>
      </w:r>
    </w:p>
    <w:p w:rsidR="00000000" w:rsidRPr="007F68AF" w:rsidP="007F68AF">
      <w:pPr>
        <w:pStyle w:val="ListBullet"/>
      </w:pPr>
      <w:r w:rsidRPr="007F68AF">
        <w:t>the criteria for overall process/equipment readiness for the process or equipment being used</w:t>
      </w:r>
    </w:p>
    <w:p w:rsidR="00000000" w:rsidRPr="007F68AF" w:rsidP="007F68AF">
      <w:pPr>
        <w:pStyle w:val="ListBullet"/>
      </w:pPr>
      <w:r w:rsidRPr="007F68AF">
        <w:t>behaviour of materials in relation to speed, temperature and tension</w:t>
      </w:r>
    </w:p>
    <w:p w:rsidR="00000000" w:rsidRPr="007F68AF" w:rsidP="007F68AF">
      <w:pPr>
        <w:pStyle w:val="ListBullet"/>
      </w:pPr>
      <w:r w:rsidRPr="007F68AF">
        <w:t xml:space="preserve">impact of machine operating parameters on product quality and production output </w:t>
      </w:r>
    </w:p>
    <w:p w:rsidR="00000000" w:rsidRPr="007F68AF" w:rsidP="007F68AF">
      <w:pPr>
        <w:pStyle w:val="ListBullet"/>
      </w:pPr>
      <w:r w:rsidRPr="007F68AF">
        <w:t xml:space="preserve">typical quality standards required at each production stage </w:t>
      </w:r>
    </w:p>
    <w:p w:rsidR="00000000" w:rsidRPr="007F68AF" w:rsidP="007F68AF">
      <w:pPr>
        <w:pStyle w:val="ListBullet"/>
      </w:pPr>
      <w:r w:rsidRPr="007F68AF">
        <w:t>key variables that may affect product quality</w:t>
      </w:r>
      <w:r w:rsidRPr="007F68AF">
        <w:t xml:space="preserve"> or production output, including:</w:t>
      </w:r>
    </w:p>
    <w:p w:rsidR="00000000" w:rsidRPr="007F68AF" w:rsidP="007F68AF">
      <w:pPr>
        <w:pStyle w:val="ListBullet2"/>
      </w:pPr>
      <w:r w:rsidRPr="007F68AF">
        <w:t>machine speed</w:t>
      </w:r>
    </w:p>
    <w:p w:rsidR="00000000" w:rsidRPr="007F68AF" w:rsidP="007F68AF">
      <w:pPr>
        <w:pStyle w:val="ListBullet2"/>
      </w:pPr>
      <w:r w:rsidRPr="007F68AF">
        <w:t>lubrication</w:t>
      </w:r>
    </w:p>
    <w:p w:rsidR="00000000" w:rsidRPr="007F68AF" w:rsidP="007F68AF">
      <w:pPr>
        <w:pStyle w:val="ListBullet2"/>
      </w:pPr>
      <w:r w:rsidRPr="007F68AF">
        <w:t>wire properties</w:t>
      </w:r>
    </w:p>
    <w:p w:rsidR="00000000" w:rsidRPr="007F68AF" w:rsidP="007F68AF">
      <w:pPr>
        <w:pStyle w:val="ListBullet"/>
      </w:pPr>
      <w:r w:rsidRPr="007F68AF">
        <w:t>wire properties and their interactions with process conditions</w:t>
      </w:r>
    </w:p>
    <w:p w:rsidR="00000000" w:rsidRPr="007F68AF" w:rsidP="007F68AF">
      <w:pPr>
        <w:pStyle w:val="ListBullet"/>
      </w:pPr>
      <w:r w:rsidRPr="007F68AF">
        <w:t xml:space="preserve">impact of variations in raw materials and equipment operation in relation to final product </w:t>
      </w:r>
    </w:p>
    <w:p w:rsidR="00000000" w:rsidRPr="007F68AF" w:rsidP="007F68AF">
      <w:pPr>
        <w:pStyle w:val="ListBullet"/>
      </w:pPr>
      <w:r w:rsidRPr="007F68AF">
        <w:t>impact of die wear and build up, faulty capstan and wire welds on product quality and production output</w:t>
      </w:r>
    </w:p>
    <w:p w:rsidR="00000000" w:rsidRPr="007F68AF" w:rsidP="007F68AF">
      <w:pPr>
        <w:pStyle w:val="ListBullet"/>
      </w:pPr>
      <w:r w:rsidRPr="007F68AF">
        <w:t>typical and atypical process and product problems, including early warning signs, possible causes and corrective actions</w:t>
      </w:r>
    </w:p>
    <w:p w:rsidR="00000000" w:rsidRPr="007F68AF" w:rsidP="007F68AF">
      <w:pPr>
        <w:pStyle w:val="ListBullet"/>
      </w:pPr>
      <w:r w:rsidRPr="007F68AF">
        <w:t>organisational procedures relev</w:t>
      </w:r>
      <w:r w:rsidRPr="007F68AF">
        <w:t>ant to the work environment or job role, including procedures for the emergency shutdown of equipment</w:t>
      </w:r>
    </w:p>
    <w:p w:rsidR="00000000" w:rsidRPr="007F68AF" w:rsidP="007F68AF">
      <w:pPr>
        <w:pStyle w:val="ListBullet"/>
      </w:pPr>
      <w:r w:rsidRPr="007F68AF">
        <w:t>hazards that may arise in the job or work environment and:</w:t>
      </w:r>
    </w:p>
    <w:p w:rsidR="00000000" w:rsidRPr="007F68AF" w:rsidP="007F68AF">
      <w:pPr>
        <w:pStyle w:val="ListBullet2"/>
      </w:pPr>
      <w:r w:rsidRPr="007F68AF">
        <w:t xml:space="preserve">their possible causes </w:t>
      </w:r>
    </w:p>
    <w:p w:rsidR="00000000" w:rsidRPr="007F68AF" w:rsidP="007F68AF">
      <w:pPr>
        <w:pStyle w:val="ListBullet2"/>
      </w:pPr>
      <w:r w:rsidRPr="007F68AF">
        <w:t>potential consequences</w:t>
      </w:r>
    </w:p>
    <w:p w:rsidR="00000000" w:rsidRPr="007F68AF" w:rsidP="007F68AF">
      <w:pPr>
        <w:pStyle w:val="ListBullet2"/>
      </w:pPr>
      <w:r w:rsidRPr="007F68AF">
        <w:t>appropriate risk controls.</w:t>
      </w:r>
    </w:p>
    <w:p w:rsidR="00000000" w:rsidRPr="007F68AF" w:rsidP="007F68AF">
      <w:pPr>
        <w:pStyle w:val="AllowPageBreak"/>
      </w:pPr>
    </w:p>
    <w:p w:rsidR="00000000" w:rsidRPr="007F68AF" w:rsidP="007F68AF">
      <w:pPr>
        <w:pStyle w:val="Heading1"/>
      </w:pPr>
      <w:bookmarkStart w:id="4" w:name="O_1114775"/>
      <w:bookmarkEnd w:id="4"/>
      <w:r w:rsidRPr="007F68AF">
        <w:t>As</w:t>
      </w:r>
      <w:r w:rsidRPr="007F68AF">
        <w:t>sessment Conditions</w:t>
      </w:r>
    </w:p>
    <w:p w:rsidR="00000000" w:rsidRPr="007F68AF" w:rsidP="00375314">
      <w:pPr>
        <w:pStyle w:val="BodyText"/>
      </w:pPr>
      <w:r w:rsidRPr="007F68AF">
        <w:t xml:space="preserve">Skills must have been demonstrated in the workplace or in a simulated environment that reflects workplace conditions and contingencies. </w:t>
      </w:r>
    </w:p>
    <w:p w:rsidR="00000000" w:rsidRPr="007F68AF" w:rsidP="00375314">
      <w:pPr>
        <w:pStyle w:val="BodyText"/>
      </w:pPr>
      <w:r w:rsidRPr="007F68AF">
        <w:t>Assessors must satisfy the NVR/AQTF mandatory competency requirements for assessors.</w:t>
      </w:r>
    </w:p>
    <w:p w:rsidR="00000000" w:rsidRPr="007F68AF" w:rsidP="007F68AF">
      <w:pPr>
        <w:pStyle w:val="Heading1"/>
      </w:pPr>
      <w:bookmarkStart w:id="5" w:name="O_1114778"/>
      <w:bookmarkEnd w:id="5"/>
      <w:r w:rsidRPr="007F68AF">
        <w:t>Links</w:t>
      </w:r>
    </w:p>
    <w:p w:rsidR="00000000" w:rsidRPr="007F68AF" w:rsidP="00375314">
      <w:pPr>
        <w:pStyle w:val="BodyText"/>
      </w:pPr>
      <w:r w:rsidRPr="007F68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9241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F68AF" w:rsidP="007F68AF"/>
    <w:sectPr w:rsidSect="007F68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AF" w:rsidRPr="00375314" w:rsidP="00375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14" w:rsidP="007F6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314" w:rsidP="007F6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5314" w:rsidP="007F6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8AF" w:rsidRPr="00375314" w:rsidP="00375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14" w:rsidRPr="002D2AF8" w:rsidP="007F6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PMBPROD301E Draw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75314" w:rsidP="007F6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969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23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40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8AF"/>
  </w:style>
  <w:style w:type="character" w:customStyle="1" w:styleId="Heading1Char">
    <w:name w:val="Heading 1 Char"/>
    <w:basedOn w:val="DefaultParagraphFont"/>
    <w:link w:val="Heading1"/>
    <w:rsid w:val="007F6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8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68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6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8AF"/>
    <w:rPr>
      <w:b/>
      <w:spacing w:val="0"/>
    </w:rPr>
  </w:style>
  <w:style w:type="paragraph" w:customStyle="1" w:styleId="SuperTitle">
    <w:name w:val="SuperTitle"/>
    <w:basedOn w:val="Title"/>
    <w:rsid w:val="007F6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6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8AF"/>
    <w:rPr>
      <w:i/>
    </w:rPr>
  </w:style>
  <w:style w:type="paragraph" w:styleId="Caption">
    <w:name w:val="caption"/>
    <w:basedOn w:val="BodyText"/>
    <w:next w:val="Normal"/>
    <w:qFormat/>
    <w:rsid w:val="007F6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8AF"/>
  </w:style>
  <w:style w:type="paragraph" w:styleId="TableofFigures">
    <w:name w:val="table of figures"/>
    <w:basedOn w:val="Normal"/>
    <w:next w:val="Normal"/>
    <w:semiHidden/>
    <w:rsid w:val="007F6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8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68AF"/>
    <w:rPr>
      <w:rFonts w:ascii="Wingdings" w:hAnsi="Wingdings"/>
    </w:rPr>
  </w:style>
  <w:style w:type="paragraph" w:customStyle="1" w:styleId="TableHeading">
    <w:name w:val="Table Heading"/>
    <w:basedOn w:val="HeadingBase"/>
    <w:rsid w:val="007F6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8AF"/>
    <w:rPr>
      <w:color w:val="0033CC"/>
      <w:u w:val="none"/>
    </w:rPr>
  </w:style>
  <w:style w:type="paragraph" w:customStyle="1" w:styleId="BodyTextRight">
    <w:name w:val="Body Text Right"/>
    <w:basedOn w:val="BodyText"/>
    <w:rsid w:val="007F6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8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8AF"/>
    <w:rPr>
      <w:sz w:val="32"/>
    </w:rPr>
  </w:style>
  <w:style w:type="paragraph" w:customStyle="1" w:styleId="HeadingProcedure">
    <w:name w:val="Heading Procedure"/>
    <w:basedOn w:val="HeadingBase"/>
    <w:next w:val="Normal"/>
    <w:rsid w:val="007F6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8AF"/>
    <w:pPr>
      <w:spacing w:before="60" w:after="60"/>
    </w:pPr>
  </w:style>
  <w:style w:type="paragraph" w:styleId="ListContinue">
    <w:name w:val="List Continue"/>
    <w:basedOn w:val="List"/>
    <w:rsid w:val="007F68AF"/>
    <w:pPr>
      <w:ind w:firstLine="0"/>
    </w:pPr>
  </w:style>
  <w:style w:type="paragraph" w:customStyle="1" w:styleId="ListNote">
    <w:name w:val="List Note"/>
    <w:basedOn w:val="List"/>
    <w:rsid w:val="007F6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8AF"/>
    <w:rPr>
      <w:rFonts w:ascii="Courier New" w:hAnsi="Courier New"/>
    </w:rPr>
  </w:style>
  <w:style w:type="paragraph" w:customStyle="1" w:styleId="NoteBullet">
    <w:name w:val="Note Bullet"/>
    <w:basedOn w:val="Note"/>
    <w:rsid w:val="007F6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6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8AF"/>
    <w:rPr>
      <w:b/>
      <w:smallCaps/>
    </w:rPr>
  </w:style>
  <w:style w:type="paragraph" w:customStyle="1" w:styleId="TableListNumber">
    <w:name w:val="Table List Number"/>
    <w:basedOn w:val="ListNumber"/>
    <w:rsid w:val="007F6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8AF"/>
    <w:pPr>
      <w:numPr>
        <w:numId w:val="9"/>
      </w:numPr>
    </w:pPr>
  </w:style>
  <w:style w:type="paragraph" w:customStyle="1" w:styleId="ListAlpha2">
    <w:name w:val="List Alpha 2"/>
    <w:basedOn w:val="List2"/>
    <w:rsid w:val="007F68AF"/>
    <w:pPr>
      <w:numPr>
        <w:numId w:val="8"/>
      </w:numPr>
    </w:pPr>
  </w:style>
  <w:style w:type="paragraph" w:styleId="List2">
    <w:name w:val="List 2"/>
    <w:basedOn w:val="BodyText"/>
    <w:rsid w:val="007F6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8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68AF"/>
    <w:pPr>
      <w:numPr>
        <w:numId w:val="4"/>
      </w:numPr>
    </w:pPr>
  </w:style>
  <w:style w:type="paragraph" w:styleId="ListContinue2">
    <w:name w:val="List Continue 2"/>
    <w:basedOn w:val="List2"/>
    <w:rsid w:val="007F68AF"/>
    <w:pPr>
      <w:ind w:firstLine="0"/>
    </w:pPr>
  </w:style>
  <w:style w:type="paragraph" w:styleId="ListContinue3">
    <w:name w:val="List Continue 3"/>
    <w:basedOn w:val="List3"/>
    <w:rsid w:val="007F68AF"/>
    <w:pPr>
      <w:ind w:left="1021" w:firstLine="0"/>
    </w:pPr>
  </w:style>
  <w:style w:type="paragraph" w:styleId="ListContinue4">
    <w:name w:val="List Continue 4"/>
    <w:basedOn w:val="List4"/>
    <w:rsid w:val="007F68AF"/>
    <w:pPr>
      <w:ind w:firstLine="0"/>
    </w:pPr>
  </w:style>
  <w:style w:type="paragraph" w:styleId="ListContinue5">
    <w:name w:val="List Continue 5"/>
    <w:basedOn w:val="List5"/>
    <w:rsid w:val="007F68AF"/>
    <w:pPr>
      <w:ind w:firstLine="0"/>
    </w:pPr>
  </w:style>
  <w:style w:type="paragraph" w:styleId="ListNumber3">
    <w:name w:val="List Number 3"/>
    <w:basedOn w:val="List3"/>
    <w:rsid w:val="007F68AF"/>
    <w:pPr>
      <w:numPr>
        <w:numId w:val="5"/>
      </w:numPr>
    </w:pPr>
  </w:style>
  <w:style w:type="paragraph" w:styleId="ListNumber4">
    <w:name w:val="List Number 4"/>
    <w:basedOn w:val="List4"/>
    <w:rsid w:val="007F68AF"/>
    <w:pPr>
      <w:numPr>
        <w:numId w:val="6"/>
      </w:numPr>
    </w:pPr>
  </w:style>
  <w:style w:type="paragraph" w:styleId="ListNumber5">
    <w:name w:val="List Number 5"/>
    <w:basedOn w:val="List5"/>
    <w:rsid w:val="007F68AF"/>
    <w:pPr>
      <w:numPr>
        <w:numId w:val="7"/>
      </w:numPr>
    </w:pPr>
  </w:style>
  <w:style w:type="paragraph" w:styleId="BlockText">
    <w:name w:val="Block Text"/>
    <w:basedOn w:val="Normal"/>
    <w:rsid w:val="007F6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8AF"/>
    <w:rPr>
      <w:sz w:val="16"/>
      <w:vertAlign w:val="superscript"/>
    </w:rPr>
  </w:style>
  <w:style w:type="character" w:customStyle="1" w:styleId="Symbols">
    <w:name w:val="Symbols"/>
    <w:basedOn w:val="DefaultParagraphFont"/>
    <w:rsid w:val="007F68AF"/>
    <w:rPr>
      <w:rFonts w:ascii="Symbol" w:hAnsi="Symbol"/>
    </w:rPr>
  </w:style>
  <w:style w:type="character" w:customStyle="1" w:styleId="MenuOptions">
    <w:name w:val="Menu Options"/>
    <w:basedOn w:val="DefaultParagraphFont"/>
    <w:rsid w:val="007F6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8AF"/>
    <w:rPr>
      <w:b/>
    </w:rPr>
  </w:style>
  <w:style w:type="character" w:customStyle="1" w:styleId="Underlined">
    <w:name w:val="Underlined"/>
    <w:basedOn w:val="DefaultParagraphFont"/>
    <w:rsid w:val="007F68AF"/>
    <w:rPr>
      <w:u w:val="single"/>
    </w:rPr>
  </w:style>
  <w:style w:type="paragraph" w:customStyle="1" w:styleId="TableBodyTextRight">
    <w:name w:val="Table Body Text Right"/>
    <w:basedOn w:val="TableBodyText"/>
    <w:rsid w:val="007F6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8AF"/>
    <w:rPr>
      <w:sz w:val="18"/>
    </w:rPr>
  </w:style>
  <w:style w:type="paragraph" w:customStyle="1" w:styleId="BodySmallRight">
    <w:name w:val="Body Small Right"/>
    <w:basedOn w:val="BodyTextRight"/>
    <w:rsid w:val="007F68AF"/>
    <w:rPr>
      <w:sz w:val="18"/>
      <w:szCs w:val="18"/>
    </w:rPr>
  </w:style>
  <w:style w:type="paragraph" w:customStyle="1" w:styleId="MarginEdition">
    <w:name w:val="Margin Edition"/>
    <w:basedOn w:val="MarginNote"/>
    <w:rsid w:val="007F6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8AF"/>
    <w:rPr>
      <w:sz w:val="2"/>
      <w:szCs w:val="2"/>
    </w:rPr>
  </w:style>
  <w:style w:type="character" w:customStyle="1" w:styleId="Small">
    <w:name w:val="Small"/>
    <w:basedOn w:val="DefaultParagraphFont"/>
    <w:rsid w:val="007F68AF"/>
    <w:rPr>
      <w:sz w:val="16"/>
    </w:rPr>
  </w:style>
  <w:style w:type="paragraph" w:customStyle="1" w:styleId="WideTable">
    <w:name w:val="Wide Table"/>
    <w:basedOn w:val="Normal"/>
    <w:rsid w:val="007F6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8AF"/>
  </w:style>
  <w:style w:type="paragraph" w:styleId="Quote">
    <w:name w:val="Quote"/>
    <w:basedOn w:val="Heading1"/>
    <w:link w:val="QuoteChar"/>
    <w:qFormat/>
    <w:rsid w:val="007F6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8AF"/>
    <w:pPr>
      <w:pageBreakBefore/>
    </w:pPr>
  </w:style>
  <w:style w:type="paragraph" w:customStyle="1" w:styleId="Border">
    <w:name w:val="Border"/>
    <w:basedOn w:val="Normal"/>
    <w:qFormat/>
    <w:rsid w:val="007F6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8AF"/>
    <w:rPr>
      <w:u w:val="single"/>
    </w:rPr>
  </w:style>
  <w:style w:type="character" w:customStyle="1" w:styleId="BoldandItalics">
    <w:name w:val="Bold and Italics"/>
    <w:qFormat/>
    <w:rsid w:val="007F68AF"/>
    <w:rPr>
      <w:b/>
      <w:i/>
      <w:u w:val="none"/>
    </w:rPr>
  </w:style>
  <w:style w:type="paragraph" w:styleId="BalloonText">
    <w:name w:val="Balloon Text"/>
    <w:basedOn w:val="Normal"/>
    <w:link w:val="BalloonTextChar"/>
    <w:rsid w:val="007F6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8AF"/>
    <w:pPr>
      <w:spacing w:before="0" w:after="0"/>
    </w:pPr>
  </w:style>
  <w:style w:type="paragraph" w:customStyle="1" w:styleId="BodyTextBold">
    <w:name w:val="Body Text Bold"/>
    <w:basedOn w:val="BodyText"/>
    <w:qFormat/>
    <w:rsid w:val="007F68AF"/>
    <w:rPr>
      <w:b/>
    </w:rPr>
  </w:style>
  <w:style w:type="character" w:styleId="Hyperlink">
    <w:name w:val="Hyperlink"/>
    <w:basedOn w:val="DefaultParagraphFont"/>
    <w:uiPriority w:val="99"/>
    <w:unhideWhenUsed/>
    <w:rsid w:val="00375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2284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PMBPROD301E Draw wire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