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287" w:rsidP="00630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PMBPROD282E Reassemble production mould components</w:t>
      </w:r>
      <w:r>
        <w:fldChar w:fldCharType="end"/>
      </w:r>
    </w:p>
    <w:p w:rsidR="00630287" w:rsidP="00630287">
      <w:pPr>
        <w:pStyle w:val="Version"/>
        <w:sectPr w:rsidSect="002B0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F76" w:rsidP="002B0F76">
      <w:pPr>
        <w:pStyle w:val="SuperHeading"/>
      </w:pPr>
      <w:r w:rsidRPr="002B0F76">
        <w:t>Assessment Requirements for PMBPROD282E Reassemble production mould components</w:t>
      </w:r>
    </w:p>
    <w:p w:rsidR="00000000" w:rsidRPr="002B0F76" w:rsidP="002B0F76">
      <w:pPr>
        <w:pStyle w:val="Heading1"/>
      </w:pPr>
      <w:bookmarkStart w:id="1" w:name="O_1114677"/>
      <w:bookmarkEnd w:id="1"/>
      <w:r w:rsidRPr="002B0F76">
        <w:t>Modification History</w:t>
      </w:r>
    </w:p>
    <w:p w:rsidR="00000000" w:rsidRPr="002B0F76" w:rsidP="00630287">
      <w:pPr>
        <w:pStyle w:val="BodyText"/>
      </w:pPr>
      <w:r w:rsidRPr="002B0F76">
        <w:t>Release 1. Unit code and title changed. Application changed. Eleme</w:t>
      </w:r>
      <w:r w:rsidRPr="002B0F76">
        <w:t>nts and Performance Criteria changed. Range of Conditions removed. Assessment Requirements changed. Supersedes and is equivalent to PMBPROD282 Assemble mould.</w:t>
      </w:r>
    </w:p>
    <w:p w:rsidR="00000000" w:rsidRPr="002B0F76" w:rsidP="002B0F76">
      <w:pPr>
        <w:pStyle w:val="Heading1"/>
      </w:pPr>
      <w:bookmarkStart w:id="2" w:name="O_1114678"/>
      <w:bookmarkEnd w:id="2"/>
      <w:r w:rsidRPr="002B0F76">
        <w:t>Performance Evidence</w:t>
      </w:r>
    </w:p>
    <w:p w:rsidR="00000000" w:rsidRPr="002B0F76" w:rsidP="00630287">
      <w:pPr>
        <w:pStyle w:val="BodyText"/>
      </w:pPr>
      <w:r w:rsidRPr="002B0F76">
        <w:t>There must be evidence the candidate has completed the ta</w:t>
      </w:r>
      <w:r w:rsidRPr="002B0F76">
        <w:t>sks outlined in the elements and performance criteria of this unit, and demonstrated the ability to:</w:t>
      </w:r>
    </w:p>
    <w:p w:rsidR="00000000" w:rsidRPr="002B0F76" w:rsidP="002B0F76">
      <w:pPr>
        <w:pStyle w:val="ListBullet"/>
      </w:pPr>
      <w:r w:rsidRPr="002B0F76">
        <w:t>reassemble production mould components at least once to meet job specifications.</w:t>
      </w:r>
    </w:p>
    <w:p w:rsidR="00000000" w:rsidRPr="002B0F76" w:rsidP="002B0F76">
      <w:pPr>
        <w:pStyle w:val="AllowPageBreak"/>
      </w:pPr>
    </w:p>
    <w:p w:rsidR="00000000" w:rsidRPr="002B0F76" w:rsidP="002B0F76">
      <w:pPr>
        <w:pStyle w:val="Heading1"/>
      </w:pPr>
      <w:bookmarkStart w:id="3" w:name="O_1114679"/>
      <w:bookmarkEnd w:id="3"/>
      <w:r w:rsidRPr="002B0F76">
        <w:t>Knowledge Evidence</w:t>
      </w:r>
    </w:p>
    <w:p w:rsidR="00000000" w:rsidRPr="002B0F76" w:rsidP="00630287">
      <w:pPr>
        <w:pStyle w:val="BodyText"/>
      </w:pPr>
      <w:r w:rsidRPr="002B0F76">
        <w:t>There must be evidence the candidat</w:t>
      </w:r>
      <w:r w:rsidRPr="002B0F76">
        <w:t>e has knowledge of:</w:t>
      </w:r>
    </w:p>
    <w:p w:rsidR="00000000" w:rsidRPr="002B0F76" w:rsidP="002B0F76">
      <w:pPr>
        <w:pStyle w:val="ListBullet"/>
      </w:pPr>
      <w:r w:rsidRPr="002B0F76">
        <w:t>the functions of mould components</w:t>
      </w:r>
    </w:p>
    <w:p w:rsidR="00000000" w:rsidRPr="002B0F76" w:rsidP="002B0F76">
      <w:pPr>
        <w:pStyle w:val="ListBullet"/>
      </w:pPr>
      <w:r w:rsidRPr="002B0F76">
        <w:t>the principles of mould operations</w:t>
      </w:r>
    </w:p>
    <w:p w:rsidR="00000000" w:rsidRPr="002B0F76" w:rsidP="002B0F76">
      <w:pPr>
        <w:pStyle w:val="ListBullet"/>
      </w:pPr>
      <w:r w:rsidRPr="002B0F76">
        <w:t>types of release agents and their application</w:t>
      </w:r>
    </w:p>
    <w:p w:rsidR="00000000" w:rsidRPr="002B0F76" w:rsidP="002B0F76">
      <w:pPr>
        <w:pStyle w:val="ListBullet"/>
      </w:pPr>
      <w:r w:rsidRPr="002B0F76">
        <w:t>typical tools and equipment involved in the reassembly of production mould components</w:t>
      </w:r>
    </w:p>
    <w:p w:rsidR="00000000" w:rsidRPr="002B0F76" w:rsidP="002B0F76">
      <w:pPr>
        <w:pStyle w:val="ListBullet"/>
      </w:pPr>
      <w:r w:rsidRPr="002B0F76">
        <w:t>criteria for confirming appropriat</w:t>
      </w:r>
      <w:r w:rsidRPr="002B0F76">
        <w:t>e condition of mould parts</w:t>
      </w:r>
    </w:p>
    <w:p w:rsidR="00000000" w:rsidRPr="002B0F76" w:rsidP="002B0F76">
      <w:pPr>
        <w:pStyle w:val="ListBullet"/>
      </w:pPr>
      <w:r w:rsidRPr="002B0F76">
        <w:t>production workflows</w:t>
      </w:r>
    </w:p>
    <w:p w:rsidR="00000000" w:rsidRPr="002B0F76" w:rsidP="002B0F76">
      <w:pPr>
        <w:pStyle w:val="ListBullet"/>
      </w:pPr>
      <w:r w:rsidRPr="002B0F76">
        <w:t>stock management techniques and procedures</w:t>
      </w:r>
    </w:p>
    <w:p w:rsidR="00000000" w:rsidRPr="002B0F76" w:rsidP="002B0F76">
      <w:pPr>
        <w:pStyle w:val="ListBullet"/>
      </w:pPr>
      <w:r w:rsidRPr="002B0F76">
        <w:t>key variables that may affect product quality and production output</w:t>
      </w:r>
    </w:p>
    <w:p w:rsidR="00000000" w:rsidRPr="002B0F76" w:rsidP="002B0F76">
      <w:pPr>
        <w:pStyle w:val="ListBullet"/>
      </w:pPr>
      <w:r w:rsidRPr="002B0F76">
        <w:t>typical process and product problems, as listed below, including early warning signs, possible ca</w:t>
      </w:r>
      <w:r w:rsidRPr="002B0F76">
        <w:t>uses and corrective actions:</w:t>
      </w:r>
    </w:p>
    <w:p w:rsidR="00000000" w:rsidRPr="002B0F76" w:rsidP="002B0F76">
      <w:pPr>
        <w:pStyle w:val="ListBullet2"/>
      </w:pPr>
      <w:r w:rsidRPr="002B0F76">
        <w:t>moulds mismatched with production requirements</w:t>
      </w:r>
    </w:p>
    <w:p w:rsidR="00000000" w:rsidRPr="002B0F76" w:rsidP="002B0F76">
      <w:pPr>
        <w:pStyle w:val="ListBullet2"/>
      </w:pPr>
      <w:r w:rsidRPr="002B0F76">
        <w:t>incorrect selection, use or positioning of mould parts</w:t>
      </w:r>
    </w:p>
    <w:p w:rsidR="00000000" w:rsidRPr="002B0F76" w:rsidP="002B0F76">
      <w:pPr>
        <w:pStyle w:val="ListBullet2"/>
      </w:pPr>
      <w:r w:rsidRPr="002B0F76">
        <w:t>unserviced moulds</w:t>
      </w:r>
    </w:p>
    <w:p w:rsidR="00000000" w:rsidRPr="002B0F76" w:rsidP="002B0F76">
      <w:pPr>
        <w:pStyle w:val="ListBullet2"/>
      </w:pPr>
      <w:r w:rsidRPr="002B0F76">
        <w:t>worn or damaged mould parts</w:t>
      </w:r>
    </w:p>
    <w:p w:rsidR="00000000" w:rsidRPr="002B0F76" w:rsidP="002B0F76">
      <w:pPr>
        <w:pStyle w:val="ListBullet"/>
      </w:pPr>
      <w:r w:rsidRPr="002B0F76">
        <w:t>organisational procedures relevant to the work environment or job role</w:t>
      </w:r>
    </w:p>
    <w:p w:rsidR="00000000" w:rsidRPr="002B0F76" w:rsidP="002B0F76">
      <w:pPr>
        <w:pStyle w:val="ListBullet"/>
      </w:pPr>
      <w:r w:rsidRPr="002B0F76">
        <w:t>hazards that may arise in the job or work environment, and:</w:t>
      </w:r>
    </w:p>
    <w:p w:rsidR="00000000" w:rsidRPr="002B0F76" w:rsidP="002B0F76">
      <w:pPr>
        <w:pStyle w:val="ListBullet2"/>
      </w:pPr>
      <w:r w:rsidRPr="002B0F76">
        <w:t>their possible causes</w:t>
      </w:r>
    </w:p>
    <w:p w:rsidR="00000000" w:rsidRPr="002B0F76" w:rsidP="002B0F76">
      <w:pPr>
        <w:pStyle w:val="ListBullet2"/>
      </w:pPr>
      <w:r w:rsidRPr="002B0F76">
        <w:t>potential consequences</w:t>
      </w:r>
    </w:p>
    <w:p w:rsidR="00000000" w:rsidRPr="002B0F76" w:rsidP="002B0F76">
      <w:pPr>
        <w:pStyle w:val="ListBullet2"/>
      </w:pPr>
      <w:r w:rsidRPr="002B0F76">
        <w:t>appropriate risk controls.</w:t>
      </w:r>
    </w:p>
    <w:p w:rsidR="00000000" w:rsidRPr="002B0F76" w:rsidP="002B0F76">
      <w:pPr>
        <w:pStyle w:val="AllowPageBreak"/>
      </w:pPr>
    </w:p>
    <w:p w:rsidR="00000000" w:rsidRPr="002B0F76" w:rsidP="002B0F76">
      <w:pPr>
        <w:pStyle w:val="Heading1"/>
      </w:pPr>
      <w:bookmarkStart w:id="4" w:name="O_1114680"/>
      <w:bookmarkEnd w:id="4"/>
      <w:r w:rsidRPr="002B0F76">
        <w:t>Assessment Conditions</w:t>
      </w:r>
    </w:p>
    <w:p w:rsidR="00000000" w:rsidRPr="002B0F76" w:rsidP="00630287">
      <w:pPr>
        <w:pStyle w:val="BodyText"/>
      </w:pPr>
      <w:r w:rsidRPr="002B0F76">
        <w:t xml:space="preserve">Skills must have been demonstrated in the workplace or in a simulated environment </w:t>
      </w:r>
      <w:r w:rsidRPr="002B0F76">
        <w:t xml:space="preserve">that reflects workplace conditions and contingencies. </w:t>
      </w:r>
    </w:p>
    <w:p w:rsidR="00000000" w:rsidRPr="002B0F76" w:rsidP="00630287">
      <w:pPr>
        <w:pStyle w:val="BodyText"/>
      </w:pPr>
      <w:r w:rsidRPr="002B0F76">
        <w:t>Assessors must satisfy the NVR/AQTF mandatory competency requirements for assessors.</w:t>
      </w:r>
    </w:p>
    <w:p w:rsidR="00000000" w:rsidRPr="002B0F76" w:rsidP="002B0F76">
      <w:pPr>
        <w:pStyle w:val="Heading1"/>
      </w:pPr>
      <w:bookmarkStart w:id="5" w:name="O_1114683"/>
      <w:bookmarkEnd w:id="5"/>
      <w:r w:rsidRPr="002B0F76">
        <w:t>Links</w:t>
      </w:r>
    </w:p>
    <w:p w:rsidR="00000000" w:rsidRPr="002B0F76" w:rsidP="00630287">
      <w:pPr>
        <w:pStyle w:val="BodyText"/>
      </w:pPr>
      <w:r w:rsidRPr="002B0F76">
        <w:t>Companion Volume implementation guides are found in VETNet –</w:t>
      </w:r>
      <w:r w:rsidRPr="002B0F76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079F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B0F76" w:rsidP="002B0F76"/>
    <w:sectPr w:rsidSect="002B0F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76" w:rsidRPr="00630287" w:rsidP="00630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87" w:rsidP="002B0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287" w:rsidP="002B0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30287" w:rsidP="002B0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F76" w:rsidRPr="00630287" w:rsidP="00630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87" w:rsidRPr="002D2AF8" w:rsidP="002B0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PMBPROD282E Reassemble production mould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30287" w:rsidP="002B0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EA4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0E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247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F76"/>
  </w:style>
  <w:style w:type="character" w:customStyle="1" w:styleId="Heading1Char">
    <w:name w:val="Heading 1 Char"/>
    <w:basedOn w:val="DefaultParagraphFont"/>
    <w:link w:val="Heading1"/>
    <w:rsid w:val="002B0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F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F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F76"/>
    <w:rPr>
      <w:b/>
      <w:spacing w:val="0"/>
    </w:rPr>
  </w:style>
  <w:style w:type="paragraph" w:customStyle="1" w:styleId="SuperTitle">
    <w:name w:val="SuperTitle"/>
    <w:basedOn w:val="Title"/>
    <w:rsid w:val="002B0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F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F76"/>
    <w:rPr>
      <w:i/>
    </w:rPr>
  </w:style>
  <w:style w:type="paragraph" w:styleId="Caption">
    <w:name w:val="caption"/>
    <w:basedOn w:val="BodyText"/>
    <w:next w:val="Normal"/>
    <w:qFormat/>
    <w:rsid w:val="002B0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F76"/>
  </w:style>
  <w:style w:type="paragraph" w:styleId="TableofFigures">
    <w:name w:val="table of figures"/>
    <w:basedOn w:val="Normal"/>
    <w:next w:val="Normal"/>
    <w:semiHidden/>
    <w:rsid w:val="002B0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F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F76"/>
    <w:rPr>
      <w:rFonts w:ascii="Wingdings" w:hAnsi="Wingdings"/>
    </w:rPr>
  </w:style>
  <w:style w:type="paragraph" w:customStyle="1" w:styleId="TableHeading">
    <w:name w:val="Table Heading"/>
    <w:basedOn w:val="HeadingBase"/>
    <w:rsid w:val="002B0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F76"/>
    <w:rPr>
      <w:color w:val="0033CC"/>
      <w:u w:val="none"/>
    </w:rPr>
  </w:style>
  <w:style w:type="paragraph" w:customStyle="1" w:styleId="BodyTextRight">
    <w:name w:val="Body Text Right"/>
    <w:basedOn w:val="BodyText"/>
    <w:rsid w:val="002B0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F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F76"/>
    <w:rPr>
      <w:sz w:val="32"/>
    </w:rPr>
  </w:style>
  <w:style w:type="paragraph" w:customStyle="1" w:styleId="HeadingProcedure">
    <w:name w:val="Heading Procedure"/>
    <w:basedOn w:val="HeadingBase"/>
    <w:next w:val="Normal"/>
    <w:rsid w:val="002B0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F76"/>
    <w:pPr>
      <w:spacing w:before="60" w:after="60"/>
    </w:pPr>
  </w:style>
  <w:style w:type="paragraph" w:styleId="ListContinue">
    <w:name w:val="List Continue"/>
    <w:basedOn w:val="List"/>
    <w:rsid w:val="002B0F76"/>
    <w:pPr>
      <w:ind w:firstLine="0"/>
    </w:pPr>
  </w:style>
  <w:style w:type="paragraph" w:customStyle="1" w:styleId="ListNote">
    <w:name w:val="List Note"/>
    <w:basedOn w:val="List"/>
    <w:rsid w:val="002B0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F76"/>
    <w:rPr>
      <w:rFonts w:ascii="Courier New" w:hAnsi="Courier New"/>
    </w:rPr>
  </w:style>
  <w:style w:type="paragraph" w:customStyle="1" w:styleId="NoteBullet">
    <w:name w:val="Note Bullet"/>
    <w:basedOn w:val="Note"/>
    <w:rsid w:val="002B0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F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F76"/>
    <w:rPr>
      <w:b/>
      <w:smallCaps/>
    </w:rPr>
  </w:style>
  <w:style w:type="paragraph" w:customStyle="1" w:styleId="TableListNumber">
    <w:name w:val="Table List Number"/>
    <w:basedOn w:val="ListNumber"/>
    <w:rsid w:val="002B0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F76"/>
    <w:pPr>
      <w:numPr>
        <w:numId w:val="9"/>
      </w:numPr>
    </w:pPr>
  </w:style>
  <w:style w:type="paragraph" w:customStyle="1" w:styleId="ListAlpha2">
    <w:name w:val="List Alpha 2"/>
    <w:basedOn w:val="List2"/>
    <w:rsid w:val="002B0F76"/>
    <w:pPr>
      <w:numPr>
        <w:numId w:val="8"/>
      </w:numPr>
    </w:pPr>
  </w:style>
  <w:style w:type="paragraph" w:styleId="List2">
    <w:name w:val="List 2"/>
    <w:basedOn w:val="BodyText"/>
    <w:rsid w:val="002B0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F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F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F76"/>
    <w:pPr>
      <w:numPr>
        <w:numId w:val="4"/>
      </w:numPr>
    </w:pPr>
  </w:style>
  <w:style w:type="paragraph" w:styleId="ListContinue2">
    <w:name w:val="List Continue 2"/>
    <w:basedOn w:val="List2"/>
    <w:rsid w:val="002B0F76"/>
    <w:pPr>
      <w:ind w:firstLine="0"/>
    </w:pPr>
  </w:style>
  <w:style w:type="paragraph" w:styleId="ListContinue3">
    <w:name w:val="List Continue 3"/>
    <w:basedOn w:val="List3"/>
    <w:rsid w:val="002B0F76"/>
    <w:pPr>
      <w:ind w:left="1021" w:firstLine="0"/>
    </w:pPr>
  </w:style>
  <w:style w:type="paragraph" w:styleId="ListContinue4">
    <w:name w:val="List Continue 4"/>
    <w:basedOn w:val="List4"/>
    <w:rsid w:val="002B0F76"/>
    <w:pPr>
      <w:ind w:firstLine="0"/>
    </w:pPr>
  </w:style>
  <w:style w:type="paragraph" w:styleId="ListContinue5">
    <w:name w:val="List Continue 5"/>
    <w:basedOn w:val="List5"/>
    <w:rsid w:val="002B0F76"/>
    <w:pPr>
      <w:ind w:firstLine="0"/>
    </w:pPr>
  </w:style>
  <w:style w:type="paragraph" w:styleId="ListNumber3">
    <w:name w:val="List Number 3"/>
    <w:basedOn w:val="List3"/>
    <w:rsid w:val="002B0F76"/>
    <w:pPr>
      <w:numPr>
        <w:numId w:val="5"/>
      </w:numPr>
    </w:pPr>
  </w:style>
  <w:style w:type="paragraph" w:styleId="ListNumber4">
    <w:name w:val="List Number 4"/>
    <w:basedOn w:val="List4"/>
    <w:rsid w:val="002B0F76"/>
    <w:pPr>
      <w:numPr>
        <w:numId w:val="6"/>
      </w:numPr>
    </w:pPr>
  </w:style>
  <w:style w:type="paragraph" w:styleId="ListNumber5">
    <w:name w:val="List Number 5"/>
    <w:basedOn w:val="List5"/>
    <w:rsid w:val="002B0F76"/>
    <w:pPr>
      <w:numPr>
        <w:numId w:val="7"/>
      </w:numPr>
    </w:pPr>
  </w:style>
  <w:style w:type="paragraph" w:styleId="BlockText">
    <w:name w:val="Block Text"/>
    <w:basedOn w:val="Normal"/>
    <w:rsid w:val="002B0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F76"/>
    <w:rPr>
      <w:sz w:val="16"/>
      <w:vertAlign w:val="superscript"/>
    </w:rPr>
  </w:style>
  <w:style w:type="character" w:customStyle="1" w:styleId="Symbols">
    <w:name w:val="Symbols"/>
    <w:basedOn w:val="DefaultParagraphFont"/>
    <w:rsid w:val="002B0F76"/>
    <w:rPr>
      <w:rFonts w:ascii="Symbol" w:hAnsi="Symbol"/>
    </w:rPr>
  </w:style>
  <w:style w:type="character" w:customStyle="1" w:styleId="MenuOptions">
    <w:name w:val="Menu Options"/>
    <w:basedOn w:val="DefaultParagraphFont"/>
    <w:rsid w:val="002B0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F76"/>
    <w:rPr>
      <w:b/>
    </w:rPr>
  </w:style>
  <w:style w:type="character" w:customStyle="1" w:styleId="Underlined">
    <w:name w:val="Underlined"/>
    <w:basedOn w:val="DefaultParagraphFont"/>
    <w:rsid w:val="002B0F76"/>
    <w:rPr>
      <w:u w:val="single"/>
    </w:rPr>
  </w:style>
  <w:style w:type="paragraph" w:customStyle="1" w:styleId="TableBodyTextRight">
    <w:name w:val="Table Body Text Right"/>
    <w:basedOn w:val="TableBodyText"/>
    <w:rsid w:val="002B0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F76"/>
    <w:rPr>
      <w:sz w:val="18"/>
    </w:rPr>
  </w:style>
  <w:style w:type="paragraph" w:customStyle="1" w:styleId="BodySmallRight">
    <w:name w:val="Body Small Right"/>
    <w:basedOn w:val="BodyTextRight"/>
    <w:rsid w:val="002B0F76"/>
    <w:rPr>
      <w:sz w:val="18"/>
      <w:szCs w:val="18"/>
    </w:rPr>
  </w:style>
  <w:style w:type="paragraph" w:customStyle="1" w:styleId="MarginEdition">
    <w:name w:val="Margin Edition"/>
    <w:basedOn w:val="MarginNote"/>
    <w:rsid w:val="002B0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F76"/>
    <w:rPr>
      <w:sz w:val="2"/>
      <w:szCs w:val="2"/>
    </w:rPr>
  </w:style>
  <w:style w:type="character" w:customStyle="1" w:styleId="Small">
    <w:name w:val="Small"/>
    <w:basedOn w:val="DefaultParagraphFont"/>
    <w:rsid w:val="002B0F76"/>
    <w:rPr>
      <w:sz w:val="16"/>
    </w:rPr>
  </w:style>
  <w:style w:type="paragraph" w:customStyle="1" w:styleId="WideTable">
    <w:name w:val="Wide Table"/>
    <w:basedOn w:val="Normal"/>
    <w:rsid w:val="002B0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F76"/>
  </w:style>
  <w:style w:type="paragraph" w:styleId="Quote">
    <w:name w:val="Quote"/>
    <w:basedOn w:val="Heading1"/>
    <w:link w:val="QuoteChar"/>
    <w:qFormat/>
    <w:rsid w:val="002B0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F76"/>
    <w:pPr>
      <w:pageBreakBefore/>
    </w:pPr>
  </w:style>
  <w:style w:type="paragraph" w:customStyle="1" w:styleId="Border">
    <w:name w:val="Border"/>
    <w:basedOn w:val="Normal"/>
    <w:qFormat/>
    <w:rsid w:val="002B0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F76"/>
    <w:rPr>
      <w:u w:val="single"/>
    </w:rPr>
  </w:style>
  <w:style w:type="character" w:customStyle="1" w:styleId="BoldandItalics">
    <w:name w:val="Bold and Italics"/>
    <w:qFormat/>
    <w:rsid w:val="002B0F76"/>
    <w:rPr>
      <w:b/>
      <w:i/>
      <w:u w:val="none"/>
    </w:rPr>
  </w:style>
  <w:style w:type="paragraph" w:styleId="BalloonText">
    <w:name w:val="Balloon Text"/>
    <w:basedOn w:val="Normal"/>
    <w:link w:val="BalloonTextChar"/>
    <w:rsid w:val="002B0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F76"/>
    <w:pPr>
      <w:spacing w:before="0" w:after="0"/>
    </w:pPr>
  </w:style>
  <w:style w:type="paragraph" w:customStyle="1" w:styleId="BodyTextBold">
    <w:name w:val="Body Text Bold"/>
    <w:basedOn w:val="BodyText"/>
    <w:qFormat/>
    <w:rsid w:val="002B0F76"/>
    <w:rPr>
      <w:b/>
    </w:rPr>
  </w:style>
  <w:style w:type="character" w:styleId="Hyperlink">
    <w:name w:val="Hyperlink"/>
    <w:basedOn w:val="DefaultParagraphFont"/>
    <w:uiPriority w:val="99"/>
    <w:unhideWhenUsed/>
    <w:rsid w:val="00630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1911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PMBPROD282E Reassemble production mould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