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75B" w:rsidP="004127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PMBPROD255E Operate polymer mixing equipment</w:t>
      </w:r>
      <w:r>
        <w:fldChar w:fldCharType="end"/>
      </w:r>
    </w:p>
    <w:p w:rsidR="0041275B" w:rsidP="0041275B">
      <w:pPr>
        <w:pStyle w:val="Version"/>
        <w:sectPr w:rsidSect="00467A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A3E" w:rsidP="00467A3E">
      <w:pPr>
        <w:pStyle w:val="SuperHeading"/>
      </w:pPr>
      <w:r w:rsidRPr="00467A3E">
        <w:t>Assessment Requirements for PMBPROD255E Operate polymer mixing equipment</w:t>
      </w:r>
    </w:p>
    <w:p w:rsidR="00000000" w:rsidRPr="00467A3E" w:rsidP="00467A3E">
      <w:pPr>
        <w:pStyle w:val="Heading1"/>
      </w:pPr>
      <w:bookmarkStart w:id="1" w:name="O_1114582"/>
      <w:bookmarkEnd w:id="1"/>
      <w:r w:rsidRPr="00467A3E">
        <w:t>Modification History</w:t>
      </w:r>
    </w:p>
    <w:p w:rsidR="00000000" w:rsidRPr="00467A3E" w:rsidP="0041275B">
      <w:pPr>
        <w:pStyle w:val="BodyText"/>
      </w:pPr>
      <w:r w:rsidRPr="00467A3E">
        <w:t>Release 1. Unit code and title changed. Application changed. Elements an</w:t>
      </w:r>
      <w:r w:rsidRPr="00467A3E">
        <w:t>d Performance Criteria changed. Range of Conditions removed. Assessment Requirements changed. Supersedes and is equivalent to PMBPROD255 Operate mixing equipment.</w:t>
      </w:r>
    </w:p>
    <w:p w:rsidR="00000000" w:rsidRPr="00467A3E" w:rsidP="00467A3E">
      <w:pPr>
        <w:pStyle w:val="Heading1"/>
      </w:pPr>
      <w:bookmarkStart w:id="2" w:name="O_1114583"/>
      <w:bookmarkEnd w:id="2"/>
      <w:r w:rsidRPr="00467A3E">
        <w:t>Performance Evidence</w:t>
      </w:r>
    </w:p>
    <w:p w:rsidR="00000000" w:rsidRPr="00467A3E" w:rsidP="0041275B">
      <w:pPr>
        <w:pStyle w:val="BodyText"/>
      </w:pPr>
      <w:r w:rsidRPr="00467A3E">
        <w:t>There must be evidence the candidate has completed th</w:t>
      </w:r>
      <w:r w:rsidRPr="00467A3E">
        <w:t>e tasks outlined in the elements and performance criteria of this unit, and demonstrated the ability to:</w:t>
      </w:r>
    </w:p>
    <w:p w:rsidR="00000000" w:rsidRPr="00467A3E" w:rsidP="00467A3E">
      <w:pPr>
        <w:pStyle w:val="ListBullet"/>
      </w:pPr>
      <w:r w:rsidRPr="00467A3E">
        <w:t>operate polymer mixing equipment at least once to meet job specifications.</w:t>
      </w:r>
    </w:p>
    <w:p w:rsidR="00000000" w:rsidRPr="00467A3E" w:rsidP="00467A3E">
      <w:pPr>
        <w:pStyle w:val="AllowPageBreak"/>
      </w:pPr>
    </w:p>
    <w:p w:rsidR="00000000" w:rsidRPr="00467A3E" w:rsidP="00467A3E">
      <w:pPr>
        <w:pStyle w:val="Heading1"/>
      </w:pPr>
      <w:bookmarkStart w:id="3" w:name="O_1114584"/>
      <w:bookmarkEnd w:id="3"/>
      <w:r w:rsidRPr="00467A3E">
        <w:t>Knowledge Evidence</w:t>
      </w:r>
    </w:p>
    <w:p w:rsidR="00000000" w:rsidRPr="00467A3E" w:rsidP="0041275B">
      <w:pPr>
        <w:pStyle w:val="BodyText"/>
      </w:pPr>
      <w:r w:rsidRPr="00467A3E">
        <w:t xml:space="preserve">There must be evidence the candidate </w:t>
      </w:r>
      <w:r w:rsidRPr="00467A3E">
        <w:t>has knowledge of:</w:t>
      </w:r>
    </w:p>
    <w:p w:rsidR="00000000" w:rsidRPr="00467A3E" w:rsidP="00467A3E">
      <w:pPr>
        <w:pStyle w:val="ListBullet"/>
      </w:pPr>
      <w:r w:rsidRPr="00467A3E">
        <w:t>the functions of polymer mixing equipment and ancillary equipment</w:t>
      </w:r>
    </w:p>
    <w:p w:rsidR="00000000" w:rsidRPr="00467A3E" w:rsidP="00467A3E">
      <w:pPr>
        <w:pStyle w:val="ListBullet"/>
      </w:pPr>
      <w:r w:rsidRPr="00467A3E">
        <w:t>principles of operation of common mixing/blending equipment</w:t>
      </w:r>
    </w:p>
    <w:p w:rsidR="00000000" w:rsidRPr="00467A3E" w:rsidP="00467A3E">
      <w:pPr>
        <w:pStyle w:val="ListBullet"/>
      </w:pPr>
      <w:r w:rsidRPr="00467A3E">
        <w:t>types and application of common mixing/blending equipment</w:t>
      </w:r>
    </w:p>
    <w:p w:rsidR="00000000" w:rsidRPr="00467A3E" w:rsidP="00467A3E">
      <w:pPr>
        <w:pStyle w:val="ListBullet"/>
      </w:pPr>
      <w:r w:rsidRPr="00467A3E">
        <w:t xml:space="preserve">the criteria for overall process/equipment readiness </w:t>
      </w:r>
      <w:r w:rsidRPr="00467A3E">
        <w:t>for the process or equipment being used</w:t>
      </w:r>
    </w:p>
    <w:p w:rsidR="00000000" w:rsidRPr="00467A3E" w:rsidP="00467A3E">
      <w:pPr>
        <w:pStyle w:val="ListBullet"/>
      </w:pPr>
      <w:r w:rsidRPr="00467A3E">
        <w:t>processing behaviour of polymers and the role of additives in this process</w:t>
      </w:r>
    </w:p>
    <w:p w:rsidR="00000000" w:rsidRPr="00467A3E" w:rsidP="00467A3E">
      <w:pPr>
        <w:pStyle w:val="ListBullet"/>
      </w:pPr>
      <w:r w:rsidRPr="00467A3E">
        <w:t>production workflow sequences and materials demand</w:t>
      </w:r>
    </w:p>
    <w:p w:rsidR="00000000" w:rsidRPr="00467A3E" w:rsidP="00467A3E">
      <w:pPr>
        <w:pStyle w:val="ListBullet"/>
      </w:pPr>
      <w:r w:rsidRPr="00467A3E">
        <w:t>key variables that may affect product quality and production output</w:t>
      </w:r>
    </w:p>
    <w:p w:rsidR="00000000" w:rsidRPr="00467A3E" w:rsidP="00467A3E">
      <w:pPr>
        <w:pStyle w:val="ListBullet"/>
      </w:pPr>
      <w:r w:rsidRPr="00467A3E">
        <w:t>typical process and pr</w:t>
      </w:r>
      <w:r w:rsidRPr="00467A3E">
        <w:t>oduct problems, including early warning signs and corrective actions:</w:t>
      </w:r>
    </w:p>
    <w:p w:rsidR="00000000" w:rsidRPr="00467A3E" w:rsidP="00467A3E">
      <w:pPr>
        <w:pStyle w:val="ListBullet2"/>
      </w:pPr>
      <w:r w:rsidRPr="00467A3E">
        <w:t>incorrect machine settings</w:t>
      </w:r>
    </w:p>
    <w:p w:rsidR="00000000" w:rsidRPr="00467A3E" w:rsidP="00467A3E">
      <w:pPr>
        <w:pStyle w:val="ListBullet2"/>
      </w:pPr>
      <w:r w:rsidRPr="00467A3E">
        <w:t>incorrect type or quantity of materials</w:t>
      </w:r>
    </w:p>
    <w:p w:rsidR="00000000" w:rsidRPr="00467A3E" w:rsidP="00467A3E">
      <w:pPr>
        <w:pStyle w:val="ListBullet2"/>
      </w:pPr>
      <w:r w:rsidRPr="00467A3E">
        <w:t>damaged equipment or equipment components</w:t>
      </w:r>
    </w:p>
    <w:p w:rsidR="00000000" w:rsidRPr="00467A3E" w:rsidP="00467A3E">
      <w:pPr>
        <w:pStyle w:val="ListBullet2"/>
      </w:pPr>
      <w:r w:rsidRPr="00467A3E">
        <w:t>poor blending of raw materials</w:t>
      </w:r>
    </w:p>
    <w:p w:rsidR="00000000" w:rsidRPr="00467A3E" w:rsidP="00467A3E">
      <w:pPr>
        <w:pStyle w:val="ListBullet2"/>
      </w:pPr>
      <w:r w:rsidRPr="00467A3E">
        <w:t>poor surface finish</w:t>
      </w:r>
    </w:p>
    <w:p w:rsidR="00000000" w:rsidRPr="00467A3E" w:rsidP="00467A3E">
      <w:pPr>
        <w:pStyle w:val="ListBullet2"/>
      </w:pPr>
      <w:r w:rsidRPr="00467A3E">
        <w:t>poor colour dispersion</w:t>
      </w:r>
    </w:p>
    <w:p w:rsidR="00000000" w:rsidRPr="00467A3E" w:rsidP="00467A3E">
      <w:pPr>
        <w:pStyle w:val="ListBullet2"/>
      </w:pPr>
      <w:r w:rsidRPr="00467A3E">
        <w:t>bubbles in mixture</w:t>
      </w:r>
    </w:p>
    <w:p w:rsidR="00000000" w:rsidRPr="00467A3E" w:rsidP="00467A3E">
      <w:pPr>
        <w:pStyle w:val="ListBullet"/>
      </w:pPr>
      <w:r w:rsidRPr="00467A3E">
        <w:t>possible causes of process control variances, including:</w:t>
      </w:r>
    </w:p>
    <w:p w:rsidR="00000000" w:rsidRPr="00467A3E" w:rsidP="00467A3E">
      <w:pPr>
        <w:pStyle w:val="ListBullet2"/>
      </w:pPr>
      <w:r w:rsidRPr="00467A3E">
        <w:t>raw material variations/contamination</w:t>
      </w:r>
    </w:p>
    <w:p w:rsidR="00000000" w:rsidRPr="00467A3E" w:rsidP="00467A3E">
      <w:pPr>
        <w:pStyle w:val="ListBullet2"/>
      </w:pPr>
      <w:r w:rsidRPr="00467A3E">
        <w:t>process abnormalities</w:t>
      </w:r>
    </w:p>
    <w:p w:rsidR="00000000" w:rsidRPr="00467A3E" w:rsidP="00467A3E">
      <w:pPr>
        <w:pStyle w:val="ListBullet2"/>
      </w:pPr>
      <w:r w:rsidRPr="00467A3E">
        <w:t>procedural errors</w:t>
      </w:r>
    </w:p>
    <w:p w:rsidR="00000000" w:rsidRPr="00467A3E" w:rsidP="00467A3E">
      <w:pPr>
        <w:pStyle w:val="ListBullet2"/>
      </w:pPr>
      <w:r w:rsidRPr="00467A3E">
        <w:t>mechanical abnormalities</w:t>
      </w:r>
    </w:p>
    <w:p w:rsidR="00000000" w:rsidRPr="00467A3E" w:rsidP="00467A3E">
      <w:pPr>
        <w:pStyle w:val="ListBullet"/>
      </w:pPr>
      <w:r w:rsidRPr="00467A3E">
        <w:t>organisational procedures relevant to the work environment or job role, in</w:t>
      </w:r>
      <w:r w:rsidRPr="00467A3E">
        <w:t>cluding procedures for the emergency shutdown of equipment</w:t>
      </w:r>
    </w:p>
    <w:p w:rsidR="00000000" w:rsidRPr="00467A3E" w:rsidP="00467A3E">
      <w:pPr>
        <w:pStyle w:val="ListBullet"/>
      </w:pPr>
      <w:r w:rsidRPr="00467A3E">
        <w:t>hazards that may arise in the job or work environment, and:</w:t>
      </w:r>
    </w:p>
    <w:p w:rsidR="00000000" w:rsidRPr="00467A3E" w:rsidP="00467A3E">
      <w:pPr>
        <w:pStyle w:val="ListBullet2"/>
      </w:pPr>
      <w:r w:rsidRPr="00467A3E">
        <w:t>their possible causes</w:t>
      </w:r>
    </w:p>
    <w:p w:rsidR="00000000" w:rsidRPr="00467A3E" w:rsidP="00467A3E">
      <w:pPr>
        <w:pStyle w:val="ListBullet2"/>
      </w:pPr>
      <w:r w:rsidRPr="00467A3E">
        <w:t>potential consequences</w:t>
      </w:r>
    </w:p>
    <w:p w:rsidR="00000000" w:rsidRPr="00467A3E" w:rsidP="00467A3E">
      <w:pPr>
        <w:pStyle w:val="ListBullet2"/>
      </w:pPr>
      <w:r w:rsidRPr="00467A3E">
        <w:t>appropriate risk controls.</w:t>
      </w:r>
    </w:p>
    <w:p w:rsidR="00000000" w:rsidRPr="00467A3E" w:rsidP="00467A3E">
      <w:pPr>
        <w:pStyle w:val="AllowPageBreak"/>
      </w:pPr>
    </w:p>
    <w:p w:rsidR="00000000" w:rsidRPr="00467A3E" w:rsidP="00467A3E">
      <w:pPr>
        <w:pStyle w:val="Heading1"/>
      </w:pPr>
      <w:bookmarkStart w:id="4" w:name="O_1114585"/>
      <w:bookmarkEnd w:id="4"/>
      <w:r w:rsidRPr="00467A3E">
        <w:t>Assessment Conditions</w:t>
      </w:r>
    </w:p>
    <w:p w:rsidR="00000000" w:rsidRPr="00467A3E" w:rsidP="0041275B">
      <w:pPr>
        <w:pStyle w:val="BodyText"/>
      </w:pPr>
      <w:r w:rsidRPr="00467A3E">
        <w:t xml:space="preserve">Skills must have been demonstrated in the workplace or in a simulated environment that reflects workplace conditions and contingencies. </w:t>
      </w:r>
    </w:p>
    <w:p w:rsidR="00000000" w:rsidRPr="00467A3E" w:rsidP="0041275B">
      <w:pPr>
        <w:pStyle w:val="BodyText"/>
      </w:pPr>
      <w:r w:rsidRPr="00467A3E">
        <w:t>Assessors must satisfy the NVR/AQTF mandatory competency requirements for assessors.</w:t>
      </w:r>
    </w:p>
    <w:p w:rsidR="00000000" w:rsidRPr="00467A3E" w:rsidP="00467A3E">
      <w:pPr>
        <w:pStyle w:val="Heading1"/>
      </w:pPr>
      <w:bookmarkStart w:id="5" w:name="O_1114588"/>
      <w:bookmarkEnd w:id="5"/>
      <w:r w:rsidRPr="00467A3E">
        <w:t>Links</w:t>
      </w:r>
    </w:p>
    <w:p w:rsidR="00000000" w:rsidRPr="00467A3E" w:rsidP="0041275B">
      <w:pPr>
        <w:pStyle w:val="BodyText"/>
      </w:pPr>
      <w:r w:rsidRPr="00467A3E">
        <w:t>Companion</w:t>
      </w:r>
      <w:r w:rsidRPr="00467A3E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4109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67A3E" w:rsidP="00467A3E"/>
    <w:sectPr w:rsidSect="00467A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A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A3E" w:rsidRPr="0041275B" w:rsidP="004127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A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5B" w:rsidP="00467A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275B" w:rsidP="00467A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275B" w:rsidP="00467A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A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A3E" w:rsidRPr="0041275B" w:rsidP="004127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A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5B" w:rsidRPr="002D2AF8" w:rsidP="00467A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PMBPROD255E Operate polymer mixing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41275B" w:rsidP="00467A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786A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3A7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ECDA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A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A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A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A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A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A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A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A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A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A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A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A3E"/>
  </w:style>
  <w:style w:type="character" w:customStyle="1" w:styleId="Heading1Char">
    <w:name w:val="Heading 1 Char"/>
    <w:basedOn w:val="DefaultParagraphFont"/>
    <w:link w:val="Heading1"/>
    <w:rsid w:val="00467A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A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A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A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7A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7A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A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A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A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A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A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A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A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A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A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A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A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A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A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A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A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A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A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7A3E"/>
    <w:rPr>
      <w:b/>
      <w:spacing w:val="0"/>
    </w:rPr>
  </w:style>
  <w:style w:type="paragraph" w:customStyle="1" w:styleId="SuperTitle">
    <w:name w:val="SuperTitle"/>
    <w:basedOn w:val="Title"/>
    <w:rsid w:val="00467A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A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A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A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A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A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A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A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A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A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A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A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A3E"/>
    <w:rPr>
      <w:i/>
    </w:rPr>
  </w:style>
  <w:style w:type="paragraph" w:styleId="Caption">
    <w:name w:val="caption"/>
    <w:basedOn w:val="BodyText"/>
    <w:next w:val="Normal"/>
    <w:qFormat/>
    <w:rsid w:val="00467A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A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A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A3E"/>
  </w:style>
  <w:style w:type="paragraph" w:styleId="TableofFigures">
    <w:name w:val="table of figures"/>
    <w:basedOn w:val="Normal"/>
    <w:next w:val="Normal"/>
    <w:semiHidden/>
    <w:rsid w:val="00467A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A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7A3E"/>
    <w:rPr>
      <w:rFonts w:ascii="Wingdings" w:hAnsi="Wingdings"/>
    </w:rPr>
  </w:style>
  <w:style w:type="paragraph" w:customStyle="1" w:styleId="TableHeading">
    <w:name w:val="Table Heading"/>
    <w:basedOn w:val="HeadingBase"/>
    <w:rsid w:val="00467A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A3E"/>
    <w:rPr>
      <w:color w:val="0033CC"/>
      <w:u w:val="none"/>
    </w:rPr>
  </w:style>
  <w:style w:type="paragraph" w:customStyle="1" w:styleId="BodyTextRight">
    <w:name w:val="Body Text Right"/>
    <w:basedOn w:val="BodyText"/>
    <w:rsid w:val="00467A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A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A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A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A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A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A3E"/>
    <w:rPr>
      <w:sz w:val="32"/>
    </w:rPr>
  </w:style>
  <w:style w:type="paragraph" w:customStyle="1" w:styleId="HeadingProcedure">
    <w:name w:val="Heading Procedure"/>
    <w:basedOn w:val="HeadingBase"/>
    <w:next w:val="Normal"/>
    <w:rsid w:val="00467A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A3E"/>
    <w:pPr>
      <w:spacing w:before="60" w:after="60"/>
    </w:pPr>
  </w:style>
  <w:style w:type="paragraph" w:styleId="ListContinue">
    <w:name w:val="List Continue"/>
    <w:basedOn w:val="List"/>
    <w:rsid w:val="00467A3E"/>
    <w:pPr>
      <w:ind w:firstLine="0"/>
    </w:pPr>
  </w:style>
  <w:style w:type="paragraph" w:customStyle="1" w:styleId="ListNote">
    <w:name w:val="List Note"/>
    <w:basedOn w:val="List"/>
    <w:rsid w:val="00467A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A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A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A3E"/>
    <w:rPr>
      <w:rFonts w:ascii="Courier New" w:hAnsi="Courier New"/>
    </w:rPr>
  </w:style>
  <w:style w:type="paragraph" w:customStyle="1" w:styleId="NoteBullet">
    <w:name w:val="Note Bullet"/>
    <w:basedOn w:val="Note"/>
    <w:rsid w:val="00467A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A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A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A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A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7A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A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A3E"/>
    <w:rPr>
      <w:b/>
      <w:smallCaps/>
    </w:rPr>
  </w:style>
  <w:style w:type="paragraph" w:customStyle="1" w:styleId="TableListNumber">
    <w:name w:val="Table List Number"/>
    <w:basedOn w:val="ListNumber"/>
    <w:rsid w:val="00467A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A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A3E"/>
    <w:pPr>
      <w:numPr>
        <w:numId w:val="9"/>
      </w:numPr>
    </w:pPr>
  </w:style>
  <w:style w:type="paragraph" w:customStyle="1" w:styleId="ListAlpha2">
    <w:name w:val="List Alpha 2"/>
    <w:basedOn w:val="List2"/>
    <w:rsid w:val="00467A3E"/>
    <w:pPr>
      <w:numPr>
        <w:numId w:val="8"/>
      </w:numPr>
    </w:pPr>
  </w:style>
  <w:style w:type="paragraph" w:styleId="List2">
    <w:name w:val="List 2"/>
    <w:basedOn w:val="BodyText"/>
    <w:rsid w:val="00467A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A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A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A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A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A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7A3E"/>
    <w:pPr>
      <w:numPr>
        <w:numId w:val="4"/>
      </w:numPr>
    </w:pPr>
  </w:style>
  <w:style w:type="paragraph" w:styleId="ListContinue2">
    <w:name w:val="List Continue 2"/>
    <w:basedOn w:val="List2"/>
    <w:rsid w:val="00467A3E"/>
    <w:pPr>
      <w:ind w:firstLine="0"/>
    </w:pPr>
  </w:style>
  <w:style w:type="paragraph" w:styleId="ListContinue3">
    <w:name w:val="List Continue 3"/>
    <w:basedOn w:val="List3"/>
    <w:rsid w:val="00467A3E"/>
    <w:pPr>
      <w:ind w:left="1021" w:firstLine="0"/>
    </w:pPr>
  </w:style>
  <w:style w:type="paragraph" w:styleId="ListContinue4">
    <w:name w:val="List Continue 4"/>
    <w:basedOn w:val="List4"/>
    <w:rsid w:val="00467A3E"/>
    <w:pPr>
      <w:ind w:firstLine="0"/>
    </w:pPr>
  </w:style>
  <w:style w:type="paragraph" w:styleId="ListContinue5">
    <w:name w:val="List Continue 5"/>
    <w:basedOn w:val="List5"/>
    <w:rsid w:val="00467A3E"/>
    <w:pPr>
      <w:ind w:firstLine="0"/>
    </w:pPr>
  </w:style>
  <w:style w:type="paragraph" w:styleId="ListNumber3">
    <w:name w:val="List Number 3"/>
    <w:basedOn w:val="List3"/>
    <w:rsid w:val="00467A3E"/>
    <w:pPr>
      <w:numPr>
        <w:numId w:val="5"/>
      </w:numPr>
    </w:pPr>
  </w:style>
  <w:style w:type="paragraph" w:styleId="ListNumber4">
    <w:name w:val="List Number 4"/>
    <w:basedOn w:val="List4"/>
    <w:rsid w:val="00467A3E"/>
    <w:pPr>
      <w:numPr>
        <w:numId w:val="6"/>
      </w:numPr>
    </w:pPr>
  </w:style>
  <w:style w:type="paragraph" w:styleId="ListNumber5">
    <w:name w:val="List Number 5"/>
    <w:basedOn w:val="List5"/>
    <w:rsid w:val="00467A3E"/>
    <w:pPr>
      <w:numPr>
        <w:numId w:val="7"/>
      </w:numPr>
    </w:pPr>
  </w:style>
  <w:style w:type="paragraph" w:styleId="BlockText">
    <w:name w:val="Block Text"/>
    <w:basedOn w:val="Normal"/>
    <w:rsid w:val="00467A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A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A3E"/>
    <w:rPr>
      <w:sz w:val="16"/>
      <w:vertAlign w:val="superscript"/>
    </w:rPr>
  </w:style>
  <w:style w:type="character" w:customStyle="1" w:styleId="Symbols">
    <w:name w:val="Symbols"/>
    <w:basedOn w:val="DefaultParagraphFont"/>
    <w:rsid w:val="00467A3E"/>
    <w:rPr>
      <w:rFonts w:ascii="Symbol" w:hAnsi="Symbol"/>
    </w:rPr>
  </w:style>
  <w:style w:type="character" w:customStyle="1" w:styleId="MenuOptions">
    <w:name w:val="Menu Options"/>
    <w:basedOn w:val="DefaultParagraphFont"/>
    <w:rsid w:val="00467A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A3E"/>
    <w:rPr>
      <w:b/>
    </w:rPr>
  </w:style>
  <w:style w:type="character" w:customStyle="1" w:styleId="Underlined">
    <w:name w:val="Underlined"/>
    <w:basedOn w:val="DefaultParagraphFont"/>
    <w:rsid w:val="00467A3E"/>
    <w:rPr>
      <w:u w:val="single"/>
    </w:rPr>
  </w:style>
  <w:style w:type="paragraph" w:customStyle="1" w:styleId="TableBodyTextRight">
    <w:name w:val="Table Body Text Right"/>
    <w:basedOn w:val="TableBodyText"/>
    <w:rsid w:val="00467A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A3E"/>
    <w:rPr>
      <w:sz w:val="18"/>
    </w:rPr>
  </w:style>
  <w:style w:type="paragraph" w:customStyle="1" w:styleId="BodySmallRight">
    <w:name w:val="Body Small Right"/>
    <w:basedOn w:val="BodyTextRight"/>
    <w:rsid w:val="00467A3E"/>
    <w:rPr>
      <w:sz w:val="18"/>
      <w:szCs w:val="18"/>
    </w:rPr>
  </w:style>
  <w:style w:type="paragraph" w:customStyle="1" w:styleId="MarginEdition">
    <w:name w:val="Margin Edition"/>
    <w:basedOn w:val="MarginNote"/>
    <w:rsid w:val="00467A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A3E"/>
    <w:rPr>
      <w:sz w:val="2"/>
      <w:szCs w:val="2"/>
    </w:rPr>
  </w:style>
  <w:style w:type="character" w:customStyle="1" w:styleId="Small">
    <w:name w:val="Small"/>
    <w:basedOn w:val="DefaultParagraphFont"/>
    <w:rsid w:val="00467A3E"/>
    <w:rPr>
      <w:sz w:val="16"/>
    </w:rPr>
  </w:style>
  <w:style w:type="paragraph" w:customStyle="1" w:styleId="WideTable">
    <w:name w:val="Wide Table"/>
    <w:basedOn w:val="Normal"/>
    <w:rsid w:val="00467A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A3E"/>
  </w:style>
  <w:style w:type="paragraph" w:styleId="Quote">
    <w:name w:val="Quote"/>
    <w:basedOn w:val="Heading1"/>
    <w:link w:val="QuoteChar"/>
    <w:qFormat/>
    <w:rsid w:val="00467A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A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A3E"/>
    <w:pPr>
      <w:pageBreakBefore/>
    </w:pPr>
  </w:style>
  <w:style w:type="paragraph" w:customStyle="1" w:styleId="Border">
    <w:name w:val="Border"/>
    <w:basedOn w:val="Normal"/>
    <w:qFormat/>
    <w:rsid w:val="00467A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A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A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A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A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A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A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A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A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A3E"/>
    <w:rPr>
      <w:u w:val="single"/>
    </w:rPr>
  </w:style>
  <w:style w:type="character" w:customStyle="1" w:styleId="BoldandItalics">
    <w:name w:val="Bold and Italics"/>
    <w:qFormat/>
    <w:rsid w:val="00467A3E"/>
    <w:rPr>
      <w:b/>
      <w:i/>
      <w:u w:val="none"/>
    </w:rPr>
  </w:style>
  <w:style w:type="paragraph" w:styleId="BalloonText">
    <w:name w:val="Balloon Text"/>
    <w:basedOn w:val="Normal"/>
    <w:link w:val="BalloonTextChar"/>
    <w:rsid w:val="00467A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A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A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A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A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A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A3E"/>
    <w:pPr>
      <w:spacing w:before="0" w:after="0"/>
    </w:pPr>
  </w:style>
  <w:style w:type="paragraph" w:customStyle="1" w:styleId="BodyTextBold">
    <w:name w:val="Body Text Bold"/>
    <w:basedOn w:val="BodyText"/>
    <w:qFormat/>
    <w:rsid w:val="00467A3E"/>
    <w:rPr>
      <w:b/>
    </w:rPr>
  </w:style>
  <w:style w:type="character" w:styleId="Hyperlink">
    <w:name w:val="Hyperlink"/>
    <w:basedOn w:val="DefaultParagraphFont"/>
    <w:uiPriority w:val="99"/>
    <w:unhideWhenUsed/>
    <w:rsid w:val="004127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2185</Characters>
  <Application>Microsoft Office Word</Application>
  <DocSecurity>0</DocSecurity>
  <Lines>60</Lines>
  <Paragraphs>48</Paragraphs>
  <ScaleCrop>false</ScaleCrop>
  <Company>Author-it Software Corporation Ltd.</Company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PMBPROD255E Operate polymer mixing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2022-03-25T00:52:00Z</dcterms:created>
  <dcterms:modified xsi:type="dcterms:W3CDTF">2022-03-25T00:52:00Z</dcterms:modified>
</cp:coreProperties>
</file>