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5DF6" w:rsidP="00275D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PMBPROD252E Operate polymer compounding equipment</w:t>
      </w:r>
      <w:r>
        <w:fldChar w:fldCharType="end"/>
      </w:r>
    </w:p>
    <w:p w:rsidR="00275DF6" w:rsidP="00275DF6">
      <w:pPr>
        <w:pStyle w:val="Version"/>
        <w:sectPr w:rsidSect="004275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7506" w:rsidP="00427506">
      <w:pPr>
        <w:pStyle w:val="SuperHeading"/>
      </w:pPr>
      <w:r w:rsidRPr="00427506">
        <w:t>PMBPROD252E Operate polymer compounding equipment</w:t>
      </w:r>
    </w:p>
    <w:p w:rsidR="00000000" w:rsidRPr="00427506" w:rsidP="00427506">
      <w:pPr>
        <w:pStyle w:val="Heading1"/>
      </w:pPr>
      <w:bookmarkStart w:id="1" w:name="O_1114515"/>
      <w:bookmarkEnd w:id="1"/>
      <w:r w:rsidRPr="00427506">
        <w:t>Modification History</w:t>
      </w:r>
    </w:p>
    <w:p w:rsidR="00000000" w:rsidRPr="00427506" w:rsidP="00275DF6">
      <w:pPr>
        <w:pStyle w:val="BodyText"/>
      </w:pPr>
      <w:r w:rsidRPr="00427506">
        <w:t>Release 1. Unit code and title changed. Application changed. Elements and Performance Criteria changed. Range of Conditions removed. Assessment Requirements changed. Supersedes and is equivalent to PMBPROD252 Operate compoundi</w:t>
      </w:r>
      <w:r w:rsidRPr="00427506">
        <w:t>ng equipment.</w:t>
      </w:r>
    </w:p>
    <w:p w:rsidR="00000000" w:rsidRPr="00427506" w:rsidP="00427506">
      <w:pPr>
        <w:pStyle w:val="Heading1"/>
      </w:pPr>
      <w:bookmarkStart w:id="2" w:name="O_1114516"/>
      <w:bookmarkEnd w:id="2"/>
      <w:r w:rsidRPr="00427506">
        <w:t>Application</w:t>
      </w:r>
    </w:p>
    <w:p w:rsidR="00000000" w:rsidRPr="00427506" w:rsidP="00275DF6">
      <w:pPr>
        <w:pStyle w:val="BodyText"/>
      </w:pPr>
      <w:r w:rsidRPr="00427506">
        <w:t xml:space="preserve">This unit describes the skills and knowledge required to operate compounding equipment to measure and combine polymer resins with colourants, stabilisers, flame retardants or other additives. </w:t>
      </w:r>
    </w:p>
    <w:p w:rsidR="00000000" w:rsidRPr="00427506" w:rsidP="00275DF6">
      <w:pPr>
        <w:pStyle w:val="BodyText"/>
      </w:pPr>
      <w:r w:rsidRPr="00427506">
        <w:t xml:space="preserve">This unit applies </w:t>
      </w:r>
      <w:r w:rsidRPr="00427506">
        <w:t>to an individual working alone or as part of a team.</w:t>
      </w:r>
    </w:p>
    <w:p w:rsidR="00000000" w:rsidRPr="00427506" w:rsidP="00275DF6">
      <w:pPr>
        <w:pStyle w:val="BodyText"/>
      </w:pPr>
      <w:r w:rsidRPr="00427506">
        <w:t>This unit principally refers to the ability to apply operating procedures accurately and consistently and, combined with polymer processing knowledge, achieve consistency in production.</w:t>
      </w:r>
    </w:p>
    <w:p w:rsidR="00000000" w:rsidRPr="00427506" w:rsidP="00275DF6">
      <w:pPr>
        <w:pStyle w:val="BodyText"/>
      </w:pPr>
      <w:r w:rsidRPr="00427506">
        <w:t>No licensing or c</w:t>
      </w:r>
      <w:r w:rsidRPr="00427506">
        <w:t>ertification requirements exist at the time of publication. Relevant legislation, industry standards and codes of practice within Australia must be applied.</w:t>
      </w:r>
    </w:p>
    <w:p w:rsidR="00000000" w:rsidRPr="00427506" w:rsidP="00427506">
      <w:pPr>
        <w:pStyle w:val="Heading1"/>
      </w:pPr>
      <w:bookmarkStart w:id="3" w:name="O_1114517"/>
      <w:bookmarkEnd w:id="3"/>
      <w:r w:rsidRPr="00427506">
        <w:t>Pre-requisite Unit</w:t>
      </w:r>
    </w:p>
    <w:p w:rsidR="00000000" w:rsidRPr="00427506" w:rsidP="00275DF6">
      <w:pPr>
        <w:pStyle w:val="BodyText"/>
      </w:pPr>
      <w:r w:rsidRPr="00427506">
        <w:t>Nil</w:t>
      </w:r>
    </w:p>
    <w:p w:rsidR="00000000" w:rsidRPr="00427506" w:rsidP="00427506">
      <w:pPr>
        <w:pStyle w:val="Heading1"/>
      </w:pPr>
      <w:bookmarkStart w:id="4" w:name="O_1114518"/>
      <w:bookmarkEnd w:id="4"/>
      <w:r w:rsidRPr="00427506">
        <w:t>Competency Field</w:t>
      </w:r>
    </w:p>
    <w:p w:rsidR="00000000" w:rsidRPr="00427506" w:rsidP="00275DF6">
      <w:pPr>
        <w:pStyle w:val="BodyText"/>
      </w:pPr>
      <w:r w:rsidRPr="00427506">
        <w:t xml:space="preserve">Production – Polymer </w:t>
      </w:r>
      <w:r w:rsidRPr="00427506">
        <w:t>Technology</w:t>
      </w:r>
    </w:p>
    <w:p w:rsidR="00000000" w:rsidRPr="00427506" w:rsidP="00427506">
      <w:pPr>
        <w:pStyle w:val="Heading1"/>
      </w:pPr>
      <w:bookmarkStart w:id="5" w:name="O_1114520"/>
      <w:bookmarkEnd w:id="5"/>
      <w:r w:rsidRPr="00427506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42750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506" w:rsidP="00427506">
            <w:pPr>
              <w:pStyle w:val="BodyText"/>
            </w:pPr>
            <w:r w:rsidRPr="00427506">
              <w:rPr>
                <w:rStyle w:val="SpecialBold"/>
              </w:rPr>
              <w:t>Elements</w:t>
            </w:r>
          </w:p>
          <w:p w:rsidR="00000000" w:rsidRPr="00427506" w:rsidP="00427506">
            <w:pPr>
              <w:pStyle w:val="BodyText"/>
            </w:pPr>
            <w:r w:rsidRPr="00427506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506" w:rsidP="00427506">
            <w:pPr>
              <w:pStyle w:val="BodyText"/>
            </w:pPr>
            <w:r w:rsidRPr="00427506">
              <w:rPr>
                <w:rStyle w:val="SpecialBold"/>
              </w:rPr>
              <w:t>Performance Criteria</w:t>
            </w:r>
          </w:p>
          <w:p w:rsidR="00000000" w:rsidP="00427506">
            <w:pPr>
              <w:pStyle w:val="BodyText"/>
              <w:rPr>
                <w:lang w:val="en-NZ"/>
              </w:rPr>
            </w:pPr>
            <w:r w:rsidRPr="00427506">
              <w:t xml:space="preserve">Performance criteria describe the performance needed to demonstrate achievement of the element.  </w:t>
            </w:r>
          </w:p>
        </w:tc>
      </w:tr>
      <w:tr w:rsidTr="0042750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506">
            <w:pPr>
              <w:pStyle w:val="BodyText"/>
              <w:rPr>
                <w:lang w:val="en-NZ"/>
              </w:rPr>
            </w:pPr>
            <w:r w:rsidRPr="00427506">
              <w:t>1. Check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506" w:rsidP="00427506">
            <w:pPr>
              <w:pStyle w:val="BodyText"/>
            </w:pPr>
            <w:r w:rsidRPr="00427506">
              <w:t>1.1 Identify work requirements from production request or job specifications</w:t>
            </w:r>
          </w:p>
          <w:p w:rsidR="00000000" w:rsidRPr="00427506" w:rsidP="00427506">
            <w:pPr>
              <w:pStyle w:val="BodyText"/>
            </w:pPr>
            <w:r w:rsidRPr="00427506">
              <w:t>1.2 Verify materials, including quantities, and equipment meet requirements for job</w:t>
            </w:r>
          </w:p>
          <w:p w:rsidR="00000000" w:rsidRPr="00427506" w:rsidP="00427506">
            <w:pPr>
              <w:pStyle w:val="BodyText"/>
            </w:pPr>
            <w:r w:rsidRPr="00427506">
              <w:t xml:space="preserve">1.3 Identify and perform housekeeping tasks in preparation for work </w:t>
            </w:r>
            <w:r w:rsidRPr="00427506">
              <w:t>to be undertaken</w:t>
            </w:r>
          </w:p>
          <w:p w:rsidR="00000000" w:rsidP="00427506">
            <w:pPr>
              <w:pStyle w:val="BodyText"/>
              <w:rPr>
                <w:lang w:val="en-NZ"/>
              </w:rPr>
            </w:pPr>
            <w:r w:rsidRPr="00427506">
              <w:t xml:space="preserve">1.4 Perform pre-operational checks including checking for and acting </w:t>
            </w:r>
            <w:r w:rsidRPr="00427506">
              <w:t>on hazards</w:t>
            </w:r>
          </w:p>
        </w:tc>
      </w:tr>
      <w:tr w:rsidTr="0042750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506">
            <w:pPr>
              <w:pStyle w:val="BodyText"/>
              <w:rPr>
                <w:lang w:val="en-NZ"/>
              </w:rPr>
            </w:pPr>
            <w:r w:rsidRPr="00427506">
              <w:t>2. Operate 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506" w:rsidP="00427506">
            <w:pPr>
              <w:pStyle w:val="BodyText"/>
            </w:pPr>
            <w:r w:rsidRPr="00427506">
              <w:t>2.1 Check process is operating according to equipment specifications and job requirements</w:t>
            </w:r>
          </w:p>
          <w:p w:rsidR="00000000" w:rsidRPr="00427506" w:rsidP="00427506">
            <w:pPr>
              <w:pStyle w:val="BodyText"/>
            </w:pPr>
            <w:r w:rsidRPr="00427506">
              <w:t>2.2 Monitor and maintain supply of materials to</w:t>
            </w:r>
            <w:r w:rsidRPr="00427506">
              <w:t xml:space="preserve"> support operation of equipment</w:t>
            </w:r>
          </w:p>
          <w:p w:rsidR="00000000" w:rsidRPr="00427506" w:rsidP="00427506">
            <w:pPr>
              <w:pStyle w:val="BodyText"/>
            </w:pPr>
            <w:r w:rsidRPr="00427506">
              <w:t>2.3 Follow checking procedures to confirm if output meets job specifications and quality standards</w:t>
            </w:r>
          </w:p>
          <w:p w:rsidR="00000000" w:rsidP="00427506">
            <w:pPr>
              <w:pStyle w:val="BodyText"/>
              <w:rPr>
                <w:lang w:val="en-NZ"/>
              </w:rPr>
            </w:pPr>
            <w:r w:rsidRPr="00427506">
              <w:t>2.4 Clean equipment and work area according to operational and workplace procedures</w:t>
            </w:r>
          </w:p>
        </w:tc>
      </w:tr>
      <w:tr w:rsidTr="0042750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506">
            <w:pPr>
              <w:pStyle w:val="BodyText"/>
              <w:rPr>
                <w:lang w:val="en-NZ"/>
              </w:rPr>
            </w:pPr>
            <w:r w:rsidRPr="00427506">
              <w:t>3. Respond to process control and produc</w:t>
            </w:r>
            <w:r w:rsidRPr="00427506">
              <w:t>t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506" w:rsidP="00427506">
            <w:pPr>
              <w:pStyle w:val="BodyText"/>
            </w:pPr>
            <w:r w:rsidRPr="00427506">
              <w:t>3.1 Recognise and log process control variances and their issues</w:t>
            </w:r>
          </w:p>
          <w:p w:rsidR="00000000" w:rsidRPr="00427506" w:rsidP="00427506">
            <w:pPr>
              <w:pStyle w:val="BodyText"/>
            </w:pPr>
            <w:r w:rsidRPr="00427506">
              <w:t>3.2 Accurately maintain records and logbooks</w:t>
            </w:r>
          </w:p>
        </w:tc>
      </w:tr>
    </w:tbl>
    <w:p w:rsidR="00000000" w:rsidRPr="00427506" w:rsidP="00427506">
      <w:pPr>
        <w:pStyle w:val="BodyText"/>
      </w:pPr>
    </w:p>
    <w:p w:rsidR="00000000" w:rsidRPr="00427506" w:rsidP="00427506">
      <w:pPr>
        <w:pStyle w:val="AllowPageBreak"/>
      </w:pPr>
    </w:p>
    <w:p w:rsidR="00000000" w:rsidRPr="00427506" w:rsidP="00427506">
      <w:pPr>
        <w:pStyle w:val="Heading1"/>
      </w:pPr>
      <w:bookmarkStart w:id="6" w:name="O_1114521"/>
      <w:bookmarkEnd w:id="6"/>
      <w:r w:rsidRPr="00427506">
        <w:t>Foundation Skills</w:t>
      </w:r>
    </w:p>
    <w:p w:rsidR="00000000" w:rsidRPr="00427506" w:rsidP="00275DF6">
      <w:pPr>
        <w:pStyle w:val="BodyText"/>
      </w:pPr>
      <w:r w:rsidRPr="00427506">
        <w:t xml:space="preserve">This section describes those language, literacy, numeracy and employment skills that are essential to performance. </w:t>
      </w:r>
    </w:p>
    <w:p w:rsidR="00000000" w:rsidRPr="00427506" w:rsidP="00427506">
      <w:pPr>
        <w:pStyle w:val="ListBullet"/>
      </w:pPr>
      <w:r w:rsidRPr="00427506">
        <w:t>Numeracy skills to interpret technical information and equipment readings, and verify materials measurements.</w:t>
      </w:r>
    </w:p>
    <w:p w:rsidR="00000000" w:rsidRPr="00427506" w:rsidP="00427506">
      <w:pPr>
        <w:pStyle w:val="ListBullet"/>
      </w:pPr>
      <w:r w:rsidRPr="00427506">
        <w:t>Reading skills to interpret s</w:t>
      </w:r>
      <w:r w:rsidRPr="00427506">
        <w:t>pecifications and workplace procedures.</w:t>
      </w:r>
    </w:p>
    <w:p w:rsidR="00000000" w:rsidRPr="00427506" w:rsidP="00427506">
      <w:pPr>
        <w:pStyle w:val="ListBullet"/>
      </w:pPr>
      <w:r w:rsidRPr="00427506">
        <w:t>Writing and oral communication skills to record and report on polymer compounding equipment operations.</w:t>
      </w:r>
    </w:p>
    <w:p w:rsidR="00000000" w:rsidRPr="00427506" w:rsidP="00427506">
      <w:pPr>
        <w:pStyle w:val="BodyText"/>
      </w:pPr>
    </w:p>
    <w:p w:rsidR="00000000" w:rsidRPr="00275DF6" w:rsidP="00275DF6">
      <w:pPr>
        <w:pStyle w:val="BodyText"/>
        <w:rPr>
          <w:i/>
        </w:rPr>
      </w:pPr>
      <w:r w:rsidRPr="00275DF6">
        <w:rPr>
          <w:rStyle w:val="Emphasis"/>
        </w:rPr>
        <w:t>Other foundation skills essential to performance are explicit in the performance criteria of this unit of compe</w:t>
      </w:r>
      <w:r w:rsidRPr="00275DF6">
        <w:rPr>
          <w:rStyle w:val="Emphasis"/>
        </w:rPr>
        <w:t>tency.</w:t>
      </w:r>
    </w:p>
    <w:p w:rsidR="00000000" w:rsidRPr="00427506" w:rsidP="00427506">
      <w:pPr>
        <w:pStyle w:val="Heading1"/>
      </w:pPr>
      <w:bookmarkStart w:id="7" w:name="O_1114523"/>
      <w:bookmarkEnd w:id="7"/>
      <w:r w:rsidRPr="00427506">
        <w:t>Unit Mapping Information</w:t>
      </w:r>
    </w:p>
    <w:p w:rsidR="00000000" w:rsidRPr="00427506" w:rsidP="00275DF6">
      <w:pPr>
        <w:pStyle w:val="BodyText"/>
      </w:pPr>
      <w:r w:rsidRPr="00427506">
        <w:t>Supersedes and is equivalent to PMBPROD252 Operate compounding equipment.</w:t>
      </w:r>
    </w:p>
    <w:p w:rsidR="00000000" w:rsidRPr="00427506" w:rsidP="00427506">
      <w:pPr>
        <w:pStyle w:val="Heading1"/>
      </w:pPr>
      <w:bookmarkStart w:id="8" w:name="O_1114530"/>
      <w:bookmarkEnd w:id="8"/>
      <w:r w:rsidRPr="00427506">
        <w:t>Links</w:t>
      </w:r>
    </w:p>
    <w:p w:rsidR="00000000" w:rsidRPr="00427506" w:rsidP="00275DF6">
      <w:pPr>
        <w:pStyle w:val="BodyText"/>
      </w:pPr>
      <w:r w:rsidRPr="0042750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89626E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427506" w:rsidP="00275DF6">
      <w:pPr>
        <w:pStyle w:val="BodyText"/>
        <w:sectPr w:rsidSect="0042750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27506" w:rsidP="00427506">
      <w:pPr>
        <w:pStyle w:val="SuperHeading"/>
      </w:pPr>
      <w:r w:rsidRPr="00427506">
        <w:t>Assessment Requirements for PMBPROD252E Operate polymer compounding equipment</w:t>
      </w:r>
    </w:p>
    <w:p w:rsidR="00000000" w:rsidRPr="00427506" w:rsidP="00427506">
      <w:pPr>
        <w:pStyle w:val="Heading1"/>
      </w:pPr>
      <w:bookmarkStart w:id="9" w:name="O_1114525"/>
      <w:bookmarkEnd w:id="9"/>
      <w:r w:rsidRPr="00427506">
        <w:t>Modification History</w:t>
      </w:r>
    </w:p>
    <w:p w:rsidR="00000000" w:rsidRPr="00427506" w:rsidP="00275DF6">
      <w:pPr>
        <w:pStyle w:val="BodyText"/>
      </w:pPr>
      <w:r w:rsidRPr="00427506">
        <w:t>Release 1. Unit code and title changed. Application changed. Elements and Performance Criteria changed. Range of Conditions removed. Assessment Requirements changed. Supersedes and is equivalent to PMBPROD252 Operate compounding equipment.</w:t>
      </w:r>
    </w:p>
    <w:p w:rsidR="00000000" w:rsidRPr="00427506" w:rsidP="00427506">
      <w:pPr>
        <w:pStyle w:val="Heading1"/>
      </w:pPr>
      <w:bookmarkStart w:id="10" w:name="O_1114526"/>
      <w:bookmarkEnd w:id="10"/>
      <w:r w:rsidRPr="00427506">
        <w:t>Performance Evidence</w:t>
      </w:r>
    </w:p>
    <w:p w:rsidR="00000000" w:rsidRPr="00427506" w:rsidP="00275DF6">
      <w:pPr>
        <w:pStyle w:val="BodyText"/>
      </w:pPr>
      <w:r w:rsidRPr="00427506">
        <w:t>There must be evidence the candidate has completed the tasks outlined in the elements and performance criteria of this unit, and demonstrated the ability to:</w:t>
      </w:r>
    </w:p>
    <w:p w:rsidR="00000000" w:rsidRPr="00427506" w:rsidP="00427506">
      <w:pPr>
        <w:pStyle w:val="ListBullet"/>
      </w:pPr>
      <w:r w:rsidRPr="00427506">
        <w:t>operate polymer compounding equipment at least once to meet job specifica</w:t>
      </w:r>
      <w:r w:rsidRPr="00427506">
        <w:t>tions.</w:t>
      </w:r>
    </w:p>
    <w:p w:rsidR="00000000" w:rsidRPr="00427506" w:rsidP="00427506">
      <w:pPr>
        <w:pStyle w:val="AllowPageBreak"/>
      </w:pPr>
    </w:p>
    <w:p w:rsidR="00000000" w:rsidRPr="00427506" w:rsidP="00427506">
      <w:pPr>
        <w:pStyle w:val="Heading1"/>
      </w:pPr>
      <w:bookmarkStart w:id="11" w:name="O_1114527"/>
      <w:bookmarkEnd w:id="11"/>
      <w:r w:rsidRPr="00427506">
        <w:t>Knowledge Evidence</w:t>
      </w:r>
    </w:p>
    <w:p w:rsidR="00000000" w:rsidRPr="00427506" w:rsidP="00275DF6">
      <w:pPr>
        <w:pStyle w:val="BodyText"/>
      </w:pPr>
      <w:r w:rsidRPr="00427506">
        <w:t>There must be evidence the candidate has knowledge of:</w:t>
      </w:r>
    </w:p>
    <w:p w:rsidR="00000000" w:rsidRPr="00427506" w:rsidP="00427506">
      <w:pPr>
        <w:pStyle w:val="ListBullet"/>
      </w:pPr>
      <w:r w:rsidRPr="00427506">
        <w:t>the function of polymer compounding equipment and ancillary equipment</w:t>
      </w:r>
    </w:p>
    <w:p w:rsidR="00000000" w:rsidRPr="00427506" w:rsidP="00427506">
      <w:pPr>
        <w:pStyle w:val="ListBullet"/>
      </w:pPr>
      <w:r w:rsidRPr="00427506">
        <w:t>compounding behaviour of common polymers and additives</w:t>
      </w:r>
    </w:p>
    <w:p w:rsidR="00000000" w:rsidRPr="00427506" w:rsidP="00427506">
      <w:pPr>
        <w:pStyle w:val="ListBullet"/>
      </w:pPr>
      <w:r w:rsidRPr="00427506">
        <w:t>principles of the polymer mixi</w:t>
      </w:r>
      <w:r w:rsidRPr="00427506">
        <w:t>ng and compatibilization operation</w:t>
      </w:r>
    </w:p>
    <w:p w:rsidR="00000000" w:rsidRPr="00427506" w:rsidP="00427506">
      <w:pPr>
        <w:pStyle w:val="ListBullet"/>
      </w:pPr>
      <w:r w:rsidRPr="00427506">
        <w:t>measuring devices and procedures for checking measurements</w:t>
      </w:r>
    </w:p>
    <w:p w:rsidR="00000000" w:rsidRPr="00427506" w:rsidP="00427506">
      <w:pPr>
        <w:pStyle w:val="ListBullet"/>
      </w:pPr>
      <w:r w:rsidRPr="00427506">
        <w:t>methods for sampling of output and standard testing regimes</w:t>
      </w:r>
    </w:p>
    <w:p w:rsidR="00000000" w:rsidRPr="00427506" w:rsidP="00427506">
      <w:pPr>
        <w:pStyle w:val="ListBullet"/>
      </w:pPr>
      <w:r w:rsidRPr="00427506">
        <w:t>common types of compounding machinery, including ‘named’ mixing units and specialised extrusion and pe</w:t>
      </w:r>
      <w:r w:rsidRPr="00427506">
        <w:t>lletising combinations</w:t>
      </w:r>
    </w:p>
    <w:p w:rsidR="00000000" w:rsidRPr="00427506" w:rsidP="00427506">
      <w:pPr>
        <w:pStyle w:val="ListBullet"/>
      </w:pPr>
      <w:r w:rsidRPr="00427506">
        <w:t>key variables that may impact product quality and production output</w:t>
      </w:r>
    </w:p>
    <w:p w:rsidR="00000000" w:rsidRPr="00427506" w:rsidP="00427506">
      <w:pPr>
        <w:pStyle w:val="ListBullet"/>
      </w:pPr>
      <w:r w:rsidRPr="00427506">
        <w:t>typical quality standards at each stage of production</w:t>
      </w:r>
    </w:p>
    <w:p w:rsidR="00000000" w:rsidRPr="00427506" w:rsidP="00427506">
      <w:pPr>
        <w:pStyle w:val="ListBullet"/>
      </w:pPr>
      <w:r w:rsidRPr="00427506">
        <w:t>typical process and product problems, including early warning signs, possible causes and corrective actions</w:t>
      </w:r>
    </w:p>
    <w:p w:rsidR="00000000" w:rsidRPr="00427506" w:rsidP="00427506">
      <w:pPr>
        <w:pStyle w:val="ListBullet"/>
      </w:pPr>
      <w:r w:rsidRPr="00427506">
        <w:t>org</w:t>
      </w:r>
      <w:r w:rsidRPr="00427506">
        <w:t>anisational procedures relevant to the work environment or job role, including procedures for the emergency shutdown of equipment</w:t>
      </w:r>
    </w:p>
    <w:p w:rsidR="00000000" w:rsidRPr="00427506" w:rsidP="00427506">
      <w:pPr>
        <w:pStyle w:val="ListBullet"/>
      </w:pPr>
      <w:r w:rsidRPr="00427506">
        <w:t>hazards that may arise in the job or work environment, and:</w:t>
      </w:r>
    </w:p>
    <w:p w:rsidR="00000000" w:rsidRPr="00427506" w:rsidP="00427506">
      <w:pPr>
        <w:pStyle w:val="ListBullet2"/>
      </w:pPr>
      <w:r w:rsidRPr="00427506">
        <w:t>their possible causes</w:t>
      </w:r>
    </w:p>
    <w:p w:rsidR="00000000" w:rsidRPr="00427506" w:rsidP="00427506">
      <w:pPr>
        <w:pStyle w:val="ListBullet2"/>
      </w:pPr>
      <w:r w:rsidRPr="00427506">
        <w:t>potential consequences</w:t>
      </w:r>
    </w:p>
    <w:p w:rsidR="00000000" w:rsidRPr="00427506" w:rsidP="00427506">
      <w:pPr>
        <w:pStyle w:val="ListBullet2"/>
      </w:pPr>
      <w:r w:rsidRPr="00427506">
        <w:t>appropriate risk controls.</w:t>
      </w:r>
    </w:p>
    <w:p w:rsidR="00000000" w:rsidRPr="00427506" w:rsidP="00427506">
      <w:pPr>
        <w:pStyle w:val="AllowPageBreak"/>
      </w:pPr>
    </w:p>
    <w:p w:rsidR="00000000" w:rsidRPr="00427506" w:rsidP="00427506">
      <w:pPr>
        <w:pStyle w:val="Heading1"/>
      </w:pPr>
      <w:bookmarkStart w:id="12" w:name="O_1114528"/>
      <w:bookmarkEnd w:id="12"/>
      <w:r w:rsidRPr="00427506">
        <w:t>Assessment Conditions</w:t>
      </w:r>
    </w:p>
    <w:p w:rsidR="00000000" w:rsidRPr="00427506" w:rsidP="00275DF6">
      <w:pPr>
        <w:pStyle w:val="BodyText"/>
      </w:pPr>
      <w:r w:rsidRPr="00427506">
        <w:t xml:space="preserve">Skills must have been demonstrated in the workplace or in a simulated environment that reflects workplace conditions and contingencies. </w:t>
      </w:r>
    </w:p>
    <w:p w:rsidR="00000000" w:rsidRPr="00427506" w:rsidP="00275DF6">
      <w:pPr>
        <w:pStyle w:val="BodyText"/>
      </w:pPr>
      <w:r w:rsidRPr="00427506">
        <w:t>Assessors must satisfy the NVR/AQTF mandatory competency requirements for assessors.</w:t>
      </w:r>
    </w:p>
    <w:p w:rsidR="00000000" w:rsidRPr="00427506" w:rsidP="00427506">
      <w:pPr>
        <w:pStyle w:val="Heading1"/>
      </w:pPr>
      <w:bookmarkStart w:id="13" w:name="O_1114531"/>
      <w:bookmarkEnd w:id="13"/>
      <w:r w:rsidRPr="00427506">
        <w:t>Links</w:t>
      </w:r>
    </w:p>
    <w:p w:rsidR="00000000" w:rsidRPr="00427506" w:rsidP="00275DF6">
      <w:pPr>
        <w:pStyle w:val="BodyText"/>
      </w:pPr>
      <w:r w:rsidRPr="0042750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89626E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427506" w:rsidP="00427506"/>
    <w:sectPr w:rsidSect="0042750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5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506" w:rsidRPr="00275DF6" w:rsidP="00275D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5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DF6" w:rsidP="004275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5DF6" w:rsidP="004275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75DF6" w:rsidP="0042750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506" w:rsidP="004275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75DF6">
      <w:t>Approved</w:t>
    </w:r>
    <w:r w:rsidR="00275DF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75DF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75DF6">
      <w:rPr>
        <w:noProof/>
      </w:rPr>
      <w:t>4</w:t>
    </w:r>
    <w:r>
      <w:rPr>
        <w:noProof/>
      </w:rPr>
      <w:fldChar w:fldCharType="end"/>
    </w:r>
  </w:p>
  <w:p w:rsidR="00427506" w:rsidP="004275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75DF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75DF6">
      <w:t>Manufacturing Industry Skills Alliance</w:t>
    </w:r>
    <w:r w:rsidR="00275DF6">
      <w:fldChar w:fldCharType="end"/>
    </w:r>
  </w:p>
  <w:p w:rsidR="00427506" w:rsidP="004275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5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D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7506" w:rsidRPr="00275DF6" w:rsidP="00275D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5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DF6" w:rsidRPr="002D2AF8" w:rsidP="004275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PMBPROD252E Operate polymer compounding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75DF6" w:rsidP="0042750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506" w:rsidRPr="002D2AF8" w:rsidP="004275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75DF6">
      <w:t>PMBPROD252E Operate polymer compounding equipment</w:t>
    </w:r>
    <w:r w:rsidR="00275DF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75DF6">
      <w:rPr>
        <w:noProof/>
      </w:rPr>
      <w:t>1 March 2025</w:t>
    </w:r>
    <w:r>
      <w:fldChar w:fldCharType="end"/>
    </w:r>
  </w:p>
  <w:p w:rsidR="00427506" w:rsidP="004275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FA32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C827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9A3F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5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75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75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75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75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75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75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75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75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75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75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7506"/>
  </w:style>
  <w:style w:type="character" w:customStyle="1" w:styleId="Heading1Char">
    <w:name w:val="Heading 1 Char"/>
    <w:basedOn w:val="DefaultParagraphFont"/>
    <w:link w:val="Heading1"/>
    <w:rsid w:val="004275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75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75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750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7506"/>
    <w:rPr>
      <w:b/>
      <w:spacing w:val="0"/>
    </w:rPr>
  </w:style>
  <w:style w:type="paragraph" w:styleId="ListBullet2">
    <w:name w:val="List Bullet 2"/>
    <w:basedOn w:val="List2"/>
    <w:rsid w:val="0042750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27506"/>
    <w:rPr>
      <w:i/>
    </w:rPr>
  </w:style>
  <w:style w:type="paragraph" w:customStyle="1" w:styleId="SuperHeading">
    <w:name w:val="SuperHeading"/>
    <w:basedOn w:val="Normal"/>
    <w:rsid w:val="004275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75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75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75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75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75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75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75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75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75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75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75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75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75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75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75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75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75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75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75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75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75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75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75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75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75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75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75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75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75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75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75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75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75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75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75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75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7506"/>
  </w:style>
  <w:style w:type="paragraph" w:styleId="TableofFigures">
    <w:name w:val="table of figures"/>
    <w:basedOn w:val="Normal"/>
    <w:next w:val="Normal"/>
    <w:semiHidden/>
    <w:rsid w:val="004275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75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7506"/>
    <w:rPr>
      <w:rFonts w:ascii="Wingdings" w:hAnsi="Wingdings"/>
    </w:rPr>
  </w:style>
  <w:style w:type="paragraph" w:customStyle="1" w:styleId="TableHeading">
    <w:name w:val="Table Heading"/>
    <w:basedOn w:val="HeadingBase"/>
    <w:rsid w:val="004275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7506"/>
    <w:rPr>
      <w:color w:val="0033CC"/>
      <w:u w:val="none"/>
    </w:rPr>
  </w:style>
  <w:style w:type="paragraph" w:customStyle="1" w:styleId="BodyTextRight">
    <w:name w:val="Body Text Right"/>
    <w:basedOn w:val="BodyText"/>
    <w:rsid w:val="004275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75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75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75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75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75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7506"/>
    <w:rPr>
      <w:sz w:val="32"/>
    </w:rPr>
  </w:style>
  <w:style w:type="paragraph" w:customStyle="1" w:styleId="HeadingProcedure">
    <w:name w:val="Heading Procedure"/>
    <w:basedOn w:val="HeadingBase"/>
    <w:next w:val="Normal"/>
    <w:rsid w:val="004275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7506"/>
    <w:pPr>
      <w:spacing w:before="60" w:after="60"/>
    </w:pPr>
  </w:style>
  <w:style w:type="paragraph" w:styleId="ListContinue">
    <w:name w:val="List Continue"/>
    <w:basedOn w:val="List"/>
    <w:rsid w:val="00427506"/>
    <w:pPr>
      <w:ind w:firstLine="0"/>
    </w:pPr>
  </w:style>
  <w:style w:type="paragraph" w:customStyle="1" w:styleId="ListNote">
    <w:name w:val="List Note"/>
    <w:basedOn w:val="List"/>
    <w:rsid w:val="004275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75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75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7506"/>
    <w:rPr>
      <w:rFonts w:ascii="Courier New" w:hAnsi="Courier New"/>
    </w:rPr>
  </w:style>
  <w:style w:type="paragraph" w:customStyle="1" w:styleId="NoteBullet">
    <w:name w:val="Note Bullet"/>
    <w:basedOn w:val="Note"/>
    <w:rsid w:val="004275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75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75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75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75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75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75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7506"/>
    <w:rPr>
      <w:b/>
      <w:smallCaps/>
    </w:rPr>
  </w:style>
  <w:style w:type="paragraph" w:customStyle="1" w:styleId="TableListNumber">
    <w:name w:val="Table List Number"/>
    <w:basedOn w:val="ListNumber"/>
    <w:rsid w:val="004275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75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7506"/>
    <w:pPr>
      <w:numPr>
        <w:numId w:val="9"/>
      </w:numPr>
    </w:pPr>
  </w:style>
  <w:style w:type="paragraph" w:customStyle="1" w:styleId="ListAlpha2">
    <w:name w:val="List Alpha 2"/>
    <w:basedOn w:val="List2"/>
    <w:rsid w:val="00427506"/>
    <w:pPr>
      <w:numPr>
        <w:numId w:val="8"/>
      </w:numPr>
    </w:pPr>
  </w:style>
  <w:style w:type="paragraph" w:styleId="List2">
    <w:name w:val="List 2"/>
    <w:basedOn w:val="BodyText"/>
    <w:rsid w:val="004275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75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75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75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75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75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7506"/>
    <w:pPr>
      <w:numPr>
        <w:numId w:val="4"/>
      </w:numPr>
    </w:pPr>
  </w:style>
  <w:style w:type="paragraph" w:styleId="ListContinue2">
    <w:name w:val="List Continue 2"/>
    <w:basedOn w:val="List2"/>
    <w:rsid w:val="00427506"/>
    <w:pPr>
      <w:ind w:firstLine="0"/>
    </w:pPr>
  </w:style>
  <w:style w:type="paragraph" w:styleId="ListContinue3">
    <w:name w:val="List Continue 3"/>
    <w:basedOn w:val="List3"/>
    <w:rsid w:val="00427506"/>
    <w:pPr>
      <w:ind w:left="1021" w:firstLine="0"/>
    </w:pPr>
  </w:style>
  <w:style w:type="paragraph" w:styleId="ListContinue4">
    <w:name w:val="List Continue 4"/>
    <w:basedOn w:val="List4"/>
    <w:rsid w:val="00427506"/>
    <w:pPr>
      <w:ind w:firstLine="0"/>
    </w:pPr>
  </w:style>
  <w:style w:type="paragraph" w:styleId="ListContinue5">
    <w:name w:val="List Continue 5"/>
    <w:basedOn w:val="List5"/>
    <w:rsid w:val="00427506"/>
    <w:pPr>
      <w:ind w:firstLine="0"/>
    </w:pPr>
  </w:style>
  <w:style w:type="paragraph" w:styleId="ListNumber3">
    <w:name w:val="List Number 3"/>
    <w:basedOn w:val="List3"/>
    <w:rsid w:val="00427506"/>
    <w:pPr>
      <w:numPr>
        <w:numId w:val="5"/>
      </w:numPr>
    </w:pPr>
  </w:style>
  <w:style w:type="paragraph" w:styleId="ListNumber4">
    <w:name w:val="List Number 4"/>
    <w:basedOn w:val="List4"/>
    <w:rsid w:val="00427506"/>
    <w:pPr>
      <w:numPr>
        <w:numId w:val="6"/>
      </w:numPr>
    </w:pPr>
  </w:style>
  <w:style w:type="paragraph" w:styleId="ListNumber5">
    <w:name w:val="List Number 5"/>
    <w:basedOn w:val="List5"/>
    <w:rsid w:val="00427506"/>
    <w:pPr>
      <w:numPr>
        <w:numId w:val="7"/>
      </w:numPr>
    </w:pPr>
  </w:style>
  <w:style w:type="paragraph" w:styleId="BlockText">
    <w:name w:val="Block Text"/>
    <w:basedOn w:val="Normal"/>
    <w:rsid w:val="004275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75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7506"/>
    <w:rPr>
      <w:sz w:val="16"/>
      <w:vertAlign w:val="superscript"/>
    </w:rPr>
  </w:style>
  <w:style w:type="character" w:customStyle="1" w:styleId="Symbols">
    <w:name w:val="Symbols"/>
    <w:basedOn w:val="DefaultParagraphFont"/>
    <w:rsid w:val="00427506"/>
    <w:rPr>
      <w:rFonts w:ascii="Symbol" w:hAnsi="Symbol"/>
    </w:rPr>
  </w:style>
  <w:style w:type="character" w:customStyle="1" w:styleId="MenuOptions">
    <w:name w:val="Menu Options"/>
    <w:basedOn w:val="DefaultParagraphFont"/>
    <w:rsid w:val="004275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7506"/>
    <w:rPr>
      <w:b/>
    </w:rPr>
  </w:style>
  <w:style w:type="character" w:customStyle="1" w:styleId="Underlined">
    <w:name w:val="Underlined"/>
    <w:basedOn w:val="DefaultParagraphFont"/>
    <w:rsid w:val="00427506"/>
    <w:rPr>
      <w:u w:val="single"/>
    </w:rPr>
  </w:style>
  <w:style w:type="paragraph" w:customStyle="1" w:styleId="TableBodyTextRight">
    <w:name w:val="Table Body Text Right"/>
    <w:basedOn w:val="TableBodyText"/>
    <w:rsid w:val="004275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7506"/>
    <w:rPr>
      <w:sz w:val="18"/>
    </w:rPr>
  </w:style>
  <w:style w:type="paragraph" w:customStyle="1" w:styleId="BodySmallRight">
    <w:name w:val="Body Small Right"/>
    <w:basedOn w:val="BodyTextRight"/>
    <w:rsid w:val="00427506"/>
    <w:rPr>
      <w:sz w:val="18"/>
      <w:szCs w:val="18"/>
    </w:rPr>
  </w:style>
  <w:style w:type="paragraph" w:customStyle="1" w:styleId="MarginEdition">
    <w:name w:val="Margin Edition"/>
    <w:basedOn w:val="MarginNote"/>
    <w:rsid w:val="004275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7506"/>
    <w:rPr>
      <w:sz w:val="2"/>
      <w:szCs w:val="2"/>
    </w:rPr>
  </w:style>
  <w:style w:type="character" w:customStyle="1" w:styleId="Small">
    <w:name w:val="Small"/>
    <w:basedOn w:val="DefaultParagraphFont"/>
    <w:rsid w:val="00427506"/>
    <w:rPr>
      <w:sz w:val="16"/>
    </w:rPr>
  </w:style>
  <w:style w:type="paragraph" w:customStyle="1" w:styleId="WideTable">
    <w:name w:val="Wide Table"/>
    <w:basedOn w:val="Normal"/>
    <w:rsid w:val="004275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7506"/>
  </w:style>
  <w:style w:type="paragraph" w:styleId="Quote">
    <w:name w:val="Quote"/>
    <w:basedOn w:val="Heading1"/>
    <w:link w:val="QuoteChar"/>
    <w:qFormat/>
    <w:rsid w:val="004275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75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7506"/>
    <w:pPr>
      <w:pageBreakBefore/>
    </w:pPr>
  </w:style>
  <w:style w:type="paragraph" w:customStyle="1" w:styleId="Border">
    <w:name w:val="Border"/>
    <w:basedOn w:val="Normal"/>
    <w:qFormat/>
    <w:rsid w:val="004275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75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75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75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75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75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75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75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75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7506"/>
    <w:rPr>
      <w:u w:val="single"/>
    </w:rPr>
  </w:style>
  <w:style w:type="character" w:customStyle="1" w:styleId="BoldandItalics">
    <w:name w:val="Bold and Italics"/>
    <w:qFormat/>
    <w:rsid w:val="00427506"/>
    <w:rPr>
      <w:b/>
      <w:i/>
      <w:u w:val="none"/>
    </w:rPr>
  </w:style>
  <w:style w:type="paragraph" w:styleId="BalloonText">
    <w:name w:val="Balloon Text"/>
    <w:basedOn w:val="Normal"/>
    <w:link w:val="BalloonTextChar"/>
    <w:rsid w:val="004275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75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75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75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75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75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7506"/>
    <w:pPr>
      <w:spacing w:before="0" w:after="0"/>
    </w:pPr>
  </w:style>
  <w:style w:type="paragraph" w:customStyle="1" w:styleId="BodyTextBold">
    <w:name w:val="Body Text Bold"/>
    <w:basedOn w:val="BodyText"/>
    <w:qFormat/>
    <w:rsid w:val="00427506"/>
    <w:rPr>
      <w:b/>
    </w:rPr>
  </w:style>
  <w:style w:type="character" w:styleId="Hyperlink">
    <w:name w:val="Hyperlink"/>
    <w:basedOn w:val="DefaultParagraphFont"/>
    <w:uiPriority w:val="99"/>
    <w:unhideWhenUsed/>
    <w:rsid w:val="00275D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673</Words>
  <Characters>4568</Characters>
  <Application>Microsoft Office Word</Application>
  <DocSecurity>0</DocSecurity>
  <Lines>126</Lines>
  <Paragraphs>83</Paragraphs>
  <ScaleCrop>false</ScaleCrop>
  <Company>Author-it Software Corporation Ltd.</Company>
  <LinksUpToDate>false</LinksUpToDate>
  <CharactersWithSpaces>5158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PMBPROD252E Operate polymer compounding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2025-03-01T12:33:00Z</dcterms:created>
  <dcterms:modified xsi:type="dcterms:W3CDTF">2025-03-01T12:33:00Z</dcterms:modified>
</cp:coreProperties>
</file>