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9EB" w:rsidP="00E84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PMBPROD252E Operate polymer compounding equipment</w:t>
      </w:r>
      <w:r>
        <w:fldChar w:fldCharType="end"/>
      </w:r>
    </w:p>
    <w:p w:rsidR="00E849EB" w:rsidP="00E849EB">
      <w:pPr>
        <w:pStyle w:val="Version"/>
        <w:sectPr w:rsidSect="00401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A3B" w:rsidP="00401A3B">
      <w:pPr>
        <w:pStyle w:val="SuperHeading"/>
      </w:pPr>
      <w:r w:rsidRPr="00401A3B">
        <w:t>Assessment Requirements for PMBPROD252E Operate polymer compounding equipment</w:t>
      </w:r>
    </w:p>
    <w:p w:rsidR="00000000" w:rsidRPr="00401A3B" w:rsidP="00401A3B">
      <w:pPr>
        <w:pStyle w:val="Heading1"/>
      </w:pPr>
      <w:bookmarkStart w:id="1" w:name="O_1114525"/>
      <w:bookmarkEnd w:id="1"/>
      <w:r w:rsidRPr="00401A3B">
        <w:t>Modification History</w:t>
      </w:r>
    </w:p>
    <w:p w:rsidR="00000000" w:rsidRPr="00401A3B" w:rsidP="00E849EB">
      <w:pPr>
        <w:pStyle w:val="BodyText"/>
      </w:pPr>
      <w:r w:rsidRPr="00401A3B">
        <w:t>Release 1. Unit code and title changed. Application changed. Elemen</w:t>
      </w:r>
      <w:r w:rsidRPr="00401A3B">
        <w:t>ts and Performance Criteria changed. Range of Conditions removed. Assessment Requirements changed. Supersedes and is equivalent to PMBPROD252 Operate compounding equipment.</w:t>
      </w:r>
    </w:p>
    <w:p w:rsidR="00000000" w:rsidRPr="00401A3B" w:rsidP="00401A3B">
      <w:pPr>
        <w:pStyle w:val="Heading1"/>
      </w:pPr>
      <w:bookmarkStart w:id="2" w:name="O_1114526"/>
      <w:bookmarkEnd w:id="2"/>
      <w:r w:rsidRPr="00401A3B">
        <w:t>Performance Evidence</w:t>
      </w:r>
    </w:p>
    <w:p w:rsidR="00000000" w:rsidRPr="00401A3B" w:rsidP="00E849EB">
      <w:pPr>
        <w:pStyle w:val="BodyText"/>
      </w:pPr>
      <w:r w:rsidRPr="00401A3B">
        <w:t>There must be evidence the candidate has co</w:t>
      </w:r>
      <w:r w:rsidRPr="00401A3B">
        <w:t>mpleted the tasks outlined in the elements and performance criteria of this unit, and demonstrated the ability to:</w:t>
      </w:r>
    </w:p>
    <w:p w:rsidR="00000000" w:rsidRPr="00401A3B" w:rsidP="00401A3B">
      <w:pPr>
        <w:pStyle w:val="ListBullet"/>
      </w:pPr>
      <w:r w:rsidRPr="00401A3B">
        <w:t>operate polymer compounding equipment at least once to meet job specifications.</w:t>
      </w:r>
    </w:p>
    <w:p w:rsidR="00000000" w:rsidRPr="00401A3B" w:rsidP="00401A3B">
      <w:pPr>
        <w:pStyle w:val="AllowPageBreak"/>
      </w:pPr>
    </w:p>
    <w:p w:rsidR="00000000" w:rsidRPr="00401A3B" w:rsidP="00401A3B">
      <w:pPr>
        <w:pStyle w:val="Heading1"/>
      </w:pPr>
      <w:bookmarkStart w:id="3" w:name="O_1114527"/>
      <w:bookmarkEnd w:id="3"/>
      <w:r w:rsidRPr="00401A3B">
        <w:t>Knowledge Evidence</w:t>
      </w:r>
    </w:p>
    <w:p w:rsidR="00000000" w:rsidRPr="00401A3B" w:rsidP="00E849EB">
      <w:pPr>
        <w:pStyle w:val="BodyText"/>
      </w:pPr>
      <w:r w:rsidRPr="00401A3B">
        <w:t>There must be evidence</w:t>
      </w:r>
      <w:r w:rsidRPr="00401A3B">
        <w:t xml:space="preserve"> the candidate has knowledge of:</w:t>
      </w:r>
    </w:p>
    <w:p w:rsidR="00000000" w:rsidRPr="00401A3B" w:rsidP="00401A3B">
      <w:pPr>
        <w:pStyle w:val="ListBullet"/>
      </w:pPr>
      <w:r w:rsidRPr="00401A3B">
        <w:t>the function of polymer compounding equipment and ancillary equipment</w:t>
      </w:r>
    </w:p>
    <w:p w:rsidR="00000000" w:rsidRPr="00401A3B" w:rsidP="00401A3B">
      <w:pPr>
        <w:pStyle w:val="ListBullet"/>
      </w:pPr>
      <w:r w:rsidRPr="00401A3B">
        <w:t>compounding behaviour of common polymers and additives</w:t>
      </w:r>
    </w:p>
    <w:p w:rsidR="00000000" w:rsidRPr="00401A3B" w:rsidP="00401A3B">
      <w:pPr>
        <w:pStyle w:val="ListBullet"/>
      </w:pPr>
      <w:r w:rsidRPr="00401A3B">
        <w:t>principles of the polymer mixing and compatibilization operation</w:t>
      </w:r>
    </w:p>
    <w:p w:rsidR="00000000" w:rsidRPr="00401A3B" w:rsidP="00401A3B">
      <w:pPr>
        <w:pStyle w:val="ListBullet"/>
      </w:pPr>
      <w:r w:rsidRPr="00401A3B">
        <w:t>measuring devices and procedures</w:t>
      </w:r>
      <w:r w:rsidRPr="00401A3B">
        <w:t xml:space="preserve"> for checking measurements</w:t>
      </w:r>
    </w:p>
    <w:p w:rsidR="00000000" w:rsidRPr="00401A3B" w:rsidP="00401A3B">
      <w:pPr>
        <w:pStyle w:val="ListBullet"/>
      </w:pPr>
      <w:r w:rsidRPr="00401A3B">
        <w:t>methods for sampling of output and standard testing regimes</w:t>
      </w:r>
    </w:p>
    <w:p w:rsidR="00000000" w:rsidRPr="00401A3B" w:rsidP="00401A3B">
      <w:pPr>
        <w:pStyle w:val="ListBullet"/>
      </w:pPr>
      <w:r w:rsidRPr="00401A3B">
        <w:t>common types of compounding machinery, including ‘named’ mixing units and specialised extrusion and pelletising combinations</w:t>
      </w:r>
    </w:p>
    <w:p w:rsidR="00000000" w:rsidRPr="00401A3B" w:rsidP="00401A3B">
      <w:pPr>
        <w:pStyle w:val="ListBullet"/>
      </w:pPr>
      <w:r w:rsidRPr="00401A3B">
        <w:t>key variables that may impact product qualit</w:t>
      </w:r>
      <w:r w:rsidRPr="00401A3B">
        <w:t>y and production output</w:t>
      </w:r>
    </w:p>
    <w:p w:rsidR="00000000" w:rsidRPr="00401A3B" w:rsidP="00401A3B">
      <w:pPr>
        <w:pStyle w:val="ListBullet"/>
      </w:pPr>
      <w:r w:rsidRPr="00401A3B">
        <w:t>typical quality standards at each stage of production</w:t>
      </w:r>
    </w:p>
    <w:p w:rsidR="00000000" w:rsidRPr="00401A3B" w:rsidP="00401A3B">
      <w:pPr>
        <w:pStyle w:val="ListBullet"/>
      </w:pPr>
      <w:r w:rsidRPr="00401A3B">
        <w:t>typical process and product problems, including early warning signs, possible causes and corrective actions</w:t>
      </w:r>
    </w:p>
    <w:p w:rsidR="00000000" w:rsidRPr="00401A3B" w:rsidP="00401A3B">
      <w:pPr>
        <w:pStyle w:val="ListBullet"/>
      </w:pPr>
      <w:r w:rsidRPr="00401A3B">
        <w:t>organisational procedures relevant to the work environment or job role</w:t>
      </w:r>
      <w:r w:rsidRPr="00401A3B">
        <w:t>, including procedures for the emergency shutdown of equipment</w:t>
      </w:r>
    </w:p>
    <w:p w:rsidR="00000000" w:rsidRPr="00401A3B" w:rsidP="00401A3B">
      <w:pPr>
        <w:pStyle w:val="ListBullet"/>
      </w:pPr>
      <w:r w:rsidRPr="00401A3B">
        <w:t>hazards that may arise in the job or work environment, and:</w:t>
      </w:r>
    </w:p>
    <w:p w:rsidR="00000000" w:rsidRPr="00401A3B" w:rsidP="00401A3B">
      <w:pPr>
        <w:pStyle w:val="ListBullet2"/>
      </w:pPr>
      <w:r w:rsidRPr="00401A3B">
        <w:t>their possible causes</w:t>
      </w:r>
    </w:p>
    <w:p w:rsidR="00000000" w:rsidRPr="00401A3B" w:rsidP="00401A3B">
      <w:pPr>
        <w:pStyle w:val="ListBullet2"/>
      </w:pPr>
      <w:r w:rsidRPr="00401A3B">
        <w:t>potential consequences</w:t>
      </w:r>
    </w:p>
    <w:p w:rsidR="00000000" w:rsidRPr="00401A3B" w:rsidP="00401A3B">
      <w:pPr>
        <w:pStyle w:val="ListBullet2"/>
      </w:pPr>
      <w:r w:rsidRPr="00401A3B">
        <w:t>appropriate risk controls.</w:t>
      </w:r>
    </w:p>
    <w:p w:rsidR="00000000" w:rsidRPr="00401A3B" w:rsidP="00401A3B">
      <w:pPr>
        <w:pStyle w:val="AllowPageBreak"/>
      </w:pPr>
    </w:p>
    <w:p w:rsidR="00000000" w:rsidRPr="00401A3B" w:rsidP="00401A3B">
      <w:pPr>
        <w:pStyle w:val="Heading1"/>
      </w:pPr>
      <w:bookmarkStart w:id="4" w:name="O_1114528"/>
      <w:bookmarkEnd w:id="4"/>
      <w:r w:rsidRPr="00401A3B">
        <w:t>Assessment Conditions</w:t>
      </w:r>
    </w:p>
    <w:p w:rsidR="00000000" w:rsidRPr="00401A3B" w:rsidP="00E849EB">
      <w:pPr>
        <w:pStyle w:val="BodyText"/>
      </w:pPr>
      <w:r w:rsidRPr="00401A3B">
        <w:t xml:space="preserve">Skills must have been demonstrated in the workplace or in a simulated environment that reflects workplace conditions and contingencies. </w:t>
      </w:r>
    </w:p>
    <w:p w:rsidR="00000000" w:rsidRPr="00401A3B" w:rsidP="00E849EB">
      <w:pPr>
        <w:pStyle w:val="BodyText"/>
      </w:pPr>
      <w:r w:rsidRPr="00401A3B">
        <w:t>Assessors must satisfy the NVR/AQTF mandatory competency requirements for assessors.</w:t>
      </w:r>
    </w:p>
    <w:p w:rsidR="00000000" w:rsidRPr="00401A3B" w:rsidP="00401A3B">
      <w:pPr>
        <w:pStyle w:val="Heading1"/>
      </w:pPr>
      <w:bookmarkStart w:id="5" w:name="O_1114531"/>
      <w:bookmarkEnd w:id="5"/>
      <w:r w:rsidRPr="00401A3B">
        <w:t>Links</w:t>
      </w:r>
    </w:p>
    <w:p w:rsidR="00000000" w:rsidRPr="00401A3B" w:rsidP="00E849EB">
      <w:pPr>
        <w:pStyle w:val="BodyText"/>
      </w:pPr>
      <w:r w:rsidRPr="00401A3B">
        <w:t>Companion</w:t>
      </w:r>
      <w:r w:rsidRPr="00401A3B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F593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01A3B" w:rsidP="00401A3B"/>
    <w:sectPr w:rsidSect="00401A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A3B" w:rsidRPr="00E849EB" w:rsidP="00E84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EB" w:rsidP="00401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9EB" w:rsidP="00401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49EB" w:rsidP="00401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A3B" w:rsidRPr="00E849EB" w:rsidP="00E84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9EB" w:rsidRPr="002D2AF8" w:rsidP="00401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PMBPROD252E Operate polymer compounding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E849EB" w:rsidP="00401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F0F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07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38E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A3B"/>
  </w:style>
  <w:style w:type="character" w:customStyle="1" w:styleId="Heading1Char">
    <w:name w:val="Heading 1 Char"/>
    <w:basedOn w:val="DefaultParagraphFont"/>
    <w:link w:val="Heading1"/>
    <w:rsid w:val="00401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A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1A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1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1A3B"/>
    <w:rPr>
      <w:b/>
      <w:spacing w:val="0"/>
    </w:rPr>
  </w:style>
  <w:style w:type="paragraph" w:customStyle="1" w:styleId="SuperTitle">
    <w:name w:val="SuperTitle"/>
    <w:basedOn w:val="Title"/>
    <w:rsid w:val="00401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1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A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A3B"/>
    <w:rPr>
      <w:i/>
    </w:rPr>
  </w:style>
  <w:style w:type="paragraph" w:styleId="Caption">
    <w:name w:val="caption"/>
    <w:basedOn w:val="BodyText"/>
    <w:next w:val="Normal"/>
    <w:qFormat/>
    <w:rsid w:val="00401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A3B"/>
  </w:style>
  <w:style w:type="paragraph" w:styleId="TableofFigures">
    <w:name w:val="table of figures"/>
    <w:basedOn w:val="Normal"/>
    <w:next w:val="Normal"/>
    <w:semiHidden/>
    <w:rsid w:val="00401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A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1A3B"/>
    <w:rPr>
      <w:rFonts w:ascii="Wingdings" w:hAnsi="Wingdings"/>
    </w:rPr>
  </w:style>
  <w:style w:type="paragraph" w:customStyle="1" w:styleId="TableHeading">
    <w:name w:val="Table Heading"/>
    <w:basedOn w:val="HeadingBase"/>
    <w:rsid w:val="00401A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A3B"/>
    <w:rPr>
      <w:color w:val="0033CC"/>
      <w:u w:val="none"/>
    </w:rPr>
  </w:style>
  <w:style w:type="paragraph" w:customStyle="1" w:styleId="BodyTextRight">
    <w:name w:val="Body Text Right"/>
    <w:basedOn w:val="BodyText"/>
    <w:rsid w:val="00401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A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A3B"/>
    <w:rPr>
      <w:sz w:val="32"/>
    </w:rPr>
  </w:style>
  <w:style w:type="paragraph" w:customStyle="1" w:styleId="HeadingProcedure">
    <w:name w:val="Heading Procedure"/>
    <w:basedOn w:val="HeadingBase"/>
    <w:next w:val="Normal"/>
    <w:rsid w:val="00401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A3B"/>
    <w:pPr>
      <w:spacing w:before="60" w:after="60"/>
    </w:pPr>
  </w:style>
  <w:style w:type="paragraph" w:styleId="ListContinue">
    <w:name w:val="List Continue"/>
    <w:basedOn w:val="List"/>
    <w:rsid w:val="00401A3B"/>
    <w:pPr>
      <w:ind w:firstLine="0"/>
    </w:pPr>
  </w:style>
  <w:style w:type="paragraph" w:customStyle="1" w:styleId="ListNote">
    <w:name w:val="List Note"/>
    <w:basedOn w:val="List"/>
    <w:rsid w:val="00401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A3B"/>
    <w:rPr>
      <w:rFonts w:ascii="Courier New" w:hAnsi="Courier New"/>
    </w:rPr>
  </w:style>
  <w:style w:type="paragraph" w:customStyle="1" w:styleId="NoteBullet">
    <w:name w:val="Note Bullet"/>
    <w:basedOn w:val="Note"/>
    <w:rsid w:val="00401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A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A3B"/>
    <w:rPr>
      <w:b/>
      <w:smallCaps/>
    </w:rPr>
  </w:style>
  <w:style w:type="paragraph" w:customStyle="1" w:styleId="TableListNumber">
    <w:name w:val="Table List Number"/>
    <w:basedOn w:val="ListNumber"/>
    <w:rsid w:val="00401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A3B"/>
    <w:pPr>
      <w:numPr>
        <w:numId w:val="9"/>
      </w:numPr>
    </w:pPr>
  </w:style>
  <w:style w:type="paragraph" w:customStyle="1" w:styleId="ListAlpha2">
    <w:name w:val="List Alpha 2"/>
    <w:basedOn w:val="List2"/>
    <w:rsid w:val="00401A3B"/>
    <w:pPr>
      <w:numPr>
        <w:numId w:val="8"/>
      </w:numPr>
    </w:pPr>
  </w:style>
  <w:style w:type="paragraph" w:styleId="List2">
    <w:name w:val="List 2"/>
    <w:basedOn w:val="BodyText"/>
    <w:rsid w:val="00401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A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A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1A3B"/>
    <w:pPr>
      <w:numPr>
        <w:numId w:val="4"/>
      </w:numPr>
    </w:pPr>
  </w:style>
  <w:style w:type="paragraph" w:styleId="ListContinue2">
    <w:name w:val="List Continue 2"/>
    <w:basedOn w:val="List2"/>
    <w:rsid w:val="00401A3B"/>
    <w:pPr>
      <w:ind w:firstLine="0"/>
    </w:pPr>
  </w:style>
  <w:style w:type="paragraph" w:styleId="ListContinue3">
    <w:name w:val="List Continue 3"/>
    <w:basedOn w:val="List3"/>
    <w:rsid w:val="00401A3B"/>
    <w:pPr>
      <w:ind w:left="1021" w:firstLine="0"/>
    </w:pPr>
  </w:style>
  <w:style w:type="paragraph" w:styleId="ListContinue4">
    <w:name w:val="List Continue 4"/>
    <w:basedOn w:val="List4"/>
    <w:rsid w:val="00401A3B"/>
    <w:pPr>
      <w:ind w:firstLine="0"/>
    </w:pPr>
  </w:style>
  <w:style w:type="paragraph" w:styleId="ListContinue5">
    <w:name w:val="List Continue 5"/>
    <w:basedOn w:val="List5"/>
    <w:rsid w:val="00401A3B"/>
    <w:pPr>
      <w:ind w:firstLine="0"/>
    </w:pPr>
  </w:style>
  <w:style w:type="paragraph" w:styleId="ListNumber3">
    <w:name w:val="List Number 3"/>
    <w:basedOn w:val="List3"/>
    <w:rsid w:val="00401A3B"/>
    <w:pPr>
      <w:numPr>
        <w:numId w:val="5"/>
      </w:numPr>
    </w:pPr>
  </w:style>
  <w:style w:type="paragraph" w:styleId="ListNumber4">
    <w:name w:val="List Number 4"/>
    <w:basedOn w:val="List4"/>
    <w:rsid w:val="00401A3B"/>
    <w:pPr>
      <w:numPr>
        <w:numId w:val="6"/>
      </w:numPr>
    </w:pPr>
  </w:style>
  <w:style w:type="paragraph" w:styleId="ListNumber5">
    <w:name w:val="List Number 5"/>
    <w:basedOn w:val="List5"/>
    <w:rsid w:val="00401A3B"/>
    <w:pPr>
      <w:numPr>
        <w:numId w:val="7"/>
      </w:numPr>
    </w:pPr>
  </w:style>
  <w:style w:type="paragraph" w:styleId="BlockText">
    <w:name w:val="Block Text"/>
    <w:basedOn w:val="Normal"/>
    <w:rsid w:val="00401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A3B"/>
    <w:rPr>
      <w:sz w:val="16"/>
      <w:vertAlign w:val="superscript"/>
    </w:rPr>
  </w:style>
  <w:style w:type="character" w:customStyle="1" w:styleId="Symbols">
    <w:name w:val="Symbols"/>
    <w:basedOn w:val="DefaultParagraphFont"/>
    <w:rsid w:val="00401A3B"/>
    <w:rPr>
      <w:rFonts w:ascii="Symbol" w:hAnsi="Symbol"/>
    </w:rPr>
  </w:style>
  <w:style w:type="character" w:customStyle="1" w:styleId="MenuOptions">
    <w:name w:val="Menu Options"/>
    <w:basedOn w:val="DefaultParagraphFont"/>
    <w:rsid w:val="00401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A3B"/>
    <w:rPr>
      <w:b/>
    </w:rPr>
  </w:style>
  <w:style w:type="character" w:customStyle="1" w:styleId="Underlined">
    <w:name w:val="Underlined"/>
    <w:basedOn w:val="DefaultParagraphFont"/>
    <w:rsid w:val="00401A3B"/>
    <w:rPr>
      <w:u w:val="single"/>
    </w:rPr>
  </w:style>
  <w:style w:type="paragraph" w:customStyle="1" w:styleId="TableBodyTextRight">
    <w:name w:val="Table Body Text Right"/>
    <w:basedOn w:val="TableBodyText"/>
    <w:rsid w:val="00401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A3B"/>
    <w:rPr>
      <w:sz w:val="18"/>
    </w:rPr>
  </w:style>
  <w:style w:type="paragraph" w:customStyle="1" w:styleId="BodySmallRight">
    <w:name w:val="Body Small Right"/>
    <w:basedOn w:val="BodyTextRight"/>
    <w:rsid w:val="00401A3B"/>
    <w:rPr>
      <w:sz w:val="18"/>
      <w:szCs w:val="18"/>
    </w:rPr>
  </w:style>
  <w:style w:type="paragraph" w:customStyle="1" w:styleId="MarginEdition">
    <w:name w:val="Margin Edition"/>
    <w:basedOn w:val="MarginNote"/>
    <w:rsid w:val="00401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A3B"/>
    <w:rPr>
      <w:sz w:val="2"/>
      <w:szCs w:val="2"/>
    </w:rPr>
  </w:style>
  <w:style w:type="character" w:customStyle="1" w:styleId="Small">
    <w:name w:val="Small"/>
    <w:basedOn w:val="DefaultParagraphFont"/>
    <w:rsid w:val="00401A3B"/>
    <w:rPr>
      <w:sz w:val="16"/>
    </w:rPr>
  </w:style>
  <w:style w:type="paragraph" w:customStyle="1" w:styleId="WideTable">
    <w:name w:val="Wide Table"/>
    <w:basedOn w:val="Normal"/>
    <w:rsid w:val="00401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A3B"/>
  </w:style>
  <w:style w:type="paragraph" w:styleId="Quote">
    <w:name w:val="Quote"/>
    <w:basedOn w:val="Heading1"/>
    <w:link w:val="QuoteChar"/>
    <w:qFormat/>
    <w:rsid w:val="00401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A3B"/>
    <w:pPr>
      <w:pageBreakBefore/>
    </w:pPr>
  </w:style>
  <w:style w:type="paragraph" w:customStyle="1" w:styleId="Border">
    <w:name w:val="Border"/>
    <w:basedOn w:val="Normal"/>
    <w:qFormat/>
    <w:rsid w:val="00401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A3B"/>
    <w:rPr>
      <w:u w:val="single"/>
    </w:rPr>
  </w:style>
  <w:style w:type="character" w:customStyle="1" w:styleId="BoldandItalics">
    <w:name w:val="Bold and Italics"/>
    <w:qFormat/>
    <w:rsid w:val="00401A3B"/>
    <w:rPr>
      <w:b/>
      <w:i/>
      <w:u w:val="none"/>
    </w:rPr>
  </w:style>
  <w:style w:type="paragraph" w:styleId="BalloonText">
    <w:name w:val="Balloon Text"/>
    <w:basedOn w:val="Normal"/>
    <w:link w:val="BalloonTextChar"/>
    <w:rsid w:val="00401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A3B"/>
    <w:pPr>
      <w:spacing w:before="0" w:after="0"/>
    </w:pPr>
  </w:style>
  <w:style w:type="paragraph" w:customStyle="1" w:styleId="BodyTextBold">
    <w:name w:val="Body Text Bold"/>
    <w:basedOn w:val="BodyText"/>
    <w:qFormat/>
    <w:rsid w:val="00401A3B"/>
    <w:rPr>
      <w:b/>
    </w:rPr>
  </w:style>
  <w:style w:type="character" w:styleId="Hyperlink">
    <w:name w:val="Hyperlink"/>
    <w:basedOn w:val="DefaultParagraphFont"/>
    <w:uiPriority w:val="99"/>
    <w:unhideWhenUsed/>
    <w:rsid w:val="00E84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1976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PMBPROD252E Operate polymer compounding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