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634" w:rsidP="006A5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PMBPROD246E Hand mix materials</w:t>
      </w:r>
      <w:r>
        <w:fldChar w:fldCharType="end"/>
      </w:r>
    </w:p>
    <w:p w:rsidR="006A5634" w:rsidP="006A5634">
      <w:pPr>
        <w:pStyle w:val="Version"/>
        <w:sectPr w:rsidSect="005D1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186" w:rsidP="005D1186">
      <w:pPr>
        <w:pStyle w:val="SuperHeading"/>
      </w:pPr>
      <w:r w:rsidRPr="005D1186">
        <w:t>PMBPROD246E Hand mix materials</w:t>
      </w:r>
    </w:p>
    <w:p w:rsidR="00000000" w:rsidRPr="005D1186" w:rsidP="005D1186">
      <w:pPr>
        <w:pStyle w:val="Heading1"/>
      </w:pPr>
      <w:bookmarkStart w:id="1" w:name="O_1114420"/>
      <w:bookmarkEnd w:id="1"/>
      <w:r w:rsidRPr="005D1186">
        <w:t>Modification History</w:t>
      </w:r>
    </w:p>
    <w:p w:rsidR="00000000" w:rsidRPr="005D1186" w:rsidP="006A5634">
      <w:pPr>
        <w:pStyle w:val="BodyText"/>
      </w:pPr>
      <w:r w:rsidRPr="005D1186">
        <w:t>Release 1. Unit code changed. Application changed. Elements and Performance Criteria changed. Range of Conditions removed. Assessment Requirements changed. Supersedes and is equivalent to PMBPROD246 Hand mix materials.</w:t>
      </w:r>
    </w:p>
    <w:p w:rsidR="00000000" w:rsidRPr="005D1186" w:rsidP="005D1186">
      <w:pPr>
        <w:pStyle w:val="Heading1"/>
      </w:pPr>
      <w:bookmarkStart w:id="2" w:name="O_1114421"/>
      <w:bookmarkEnd w:id="2"/>
      <w:r w:rsidRPr="005D1186">
        <w:t>Application</w:t>
      </w:r>
    </w:p>
    <w:p w:rsidR="00000000" w:rsidRPr="005D1186" w:rsidP="006A5634">
      <w:pPr>
        <w:pStyle w:val="BodyText"/>
      </w:pPr>
      <w:r w:rsidRPr="005D1186">
        <w:t>This unit covers the skills and knowledge required to hand mix polymer materials, with the exception of composites, in the plastics or rubber sectors.</w:t>
      </w:r>
    </w:p>
    <w:p w:rsidR="00000000" w:rsidRPr="005D1186" w:rsidP="006A5634">
      <w:pPr>
        <w:pStyle w:val="BodyText"/>
      </w:pPr>
      <w:r w:rsidRPr="005D1186">
        <w:t>This unit applies to an individual working alone or as part of a team.</w:t>
      </w:r>
    </w:p>
    <w:p w:rsidR="00000000" w:rsidRPr="005D1186" w:rsidP="006A5634">
      <w:pPr>
        <w:pStyle w:val="BodyText"/>
      </w:pPr>
      <w:r w:rsidRPr="005D1186">
        <w:t>The unit principall</w:t>
      </w:r>
      <w:r w:rsidRPr="005D1186">
        <w:t>y refers to hand mixing being a stage of production for special jobs or limited production runs, and can involve dry powders, liquids, or polymer masterbatches, for colourants and special properties when the product is moulded.</w:t>
      </w:r>
    </w:p>
    <w:p w:rsidR="00000000" w:rsidRPr="005D1186" w:rsidP="006A5634">
      <w:pPr>
        <w:pStyle w:val="BodyText"/>
      </w:pPr>
      <w:r w:rsidRPr="005D1186">
        <w:t>No licensing or certificatio</w:t>
      </w:r>
      <w:r w:rsidRPr="005D1186">
        <w:t>n requirements exist at the time of publication. Relevant legislation, industry standards and codes of practice within Australia must be applied.</w:t>
      </w:r>
    </w:p>
    <w:p w:rsidR="00000000" w:rsidRPr="005D1186" w:rsidP="005D1186">
      <w:pPr>
        <w:pStyle w:val="Heading1"/>
      </w:pPr>
      <w:bookmarkStart w:id="3" w:name="O_1114422"/>
      <w:bookmarkEnd w:id="3"/>
      <w:r w:rsidRPr="005D1186">
        <w:t>Pre-requisite Unit</w:t>
      </w:r>
    </w:p>
    <w:p w:rsidR="00000000" w:rsidRPr="005D1186" w:rsidP="006A5634">
      <w:pPr>
        <w:pStyle w:val="BodyText"/>
      </w:pPr>
      <w:r w:rsidRPr="005D1186">
        <w:t>Nil</w:t>
      </w:r>
    </w:p>
    <w:p w:rsidR="00000000" w:rsidRPr="005D1186" w:rsidP="005D1186">
      <w:pPr>
        <w:pStyle w:val="Heading1"/>
      </w:pPr>
      <w:bookmarkStart w:id="4" w:name="O_1114423"/>
      <w:bookmarkEnd w:id="4"/>
      <w:r w:rsidRPr="005D1186">
        <w:t>Competency Field</w:t>
      </w:r>
    </w:p>
    <w:p w:rsidR="00000000" w:rsidRPr="005D1186" w:rsidP="006A5634">
      <w:pPr>
        <w:pStyle w:val="BodyText"/>
      </w:pPr>
      <w:r w:rsidRPr="005D1186">
        <w:t>Production – Generic (except Com</w:t>
      </w:r>
      <w:r w:rsidRPr="005D1186">
        <w:t>posites)</w:t>
      </w:r>
    </w:p>
    <w:p w:rsidR="00000000" w:rsidRPr="005D1186" w:rsidP="005D1186">
      <w:pPr>
        <w:pStyle w:val="Heading1"/>
      </w:pPr>
      <w:bookmarkStart w:id="5" w:name="O_1114425"/>
      <w:bookmarkEnd w:id="5"/>
      <w:r w:rsidRPr="005D118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D11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186" w:rsidP="005D1186">
            <w:pPr>
              <w:pStyle w:val="BodyText"/>
            </w:pPr>
            <w:r w:rsidRPr="005D1186">
              <w:rPr>
                <w:rStyle w:val="SpecialBold"/>
              </w:rPr>
              <w:t>Elements</w:t>
            </w:r>
          </w:p>
          <w:p w:rsidR="00000000" w:rsidRPr="005D1186" w:rsidP="005D1186">
            <w:pPr>
              <w:pStyle w:val="BodyText"/>
            </w:pPr>
            <w:r w:rsidRPr="005D118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186" w:rsidP="005D1186">
            <w:pPr>
              <w:pStyle w:val="BodyText"/>
            </w:pPr>
            <w:r w:rsidRPr="005D1186">
              <w:rPr>
                <w:rStyle w:val="SpecialBold"/>
              </w:rPr>
              <w:t>Performance Criteria</w:t>
            </w:r>
          </w:p>
          <w:p w:rsidR="00000000" w:rsidP="005D1186">
            <w:pPr>
              <w:pStyle w:val="BodyText"/>
              <w:rPr>
                <w:lang w:val="en-NZ"/>
              </w:rPr>
            </w:pPr>
            <w:r w:rsidRPr="005D1186">
              <w:t>Performance criteria describe the performance needed to demonstrate achievement of the element.</w:t>
            </w:r>
          </w:p>
        </w:tc>
      </w:tr>
      <w:tr w:rsidTr="005D11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186">
            <w:pPr>
              <w:pStyle w:val="BodyText"/>
              <w:rPr>
                <w:lang w:val="en-NZ"/>
              </w:rPr>
            </w:pPr>
            <w:r w:rsidRPr="005D1186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186" w:rsidP="005D1186">
            <w:pPr>
              <w:pStyle w:val="BodyText"/>
            </w:pPr>
            <w:r w:rsidRPr="005D1186">
              <w:t>1.1 Identify materials, including base raw materials and required additives, to be included in hand mixing process from job specifications</w:t>
            </w:r>
          </w:p>
          <w:p w:rsidR="00000000" w:rsidRPr="005D1186" w:rsidP="005D1186">
            <w:pPr>
              <w:pStyle w:val="BodyText"/>
            </w:pPr>
            <w:r w:rsidRPr="005D1186">
              <w:t>1.2 Identify hand mixing equipment and components, including those used for materials meas</w:t>
            </w:r>
            <w:r w:rsidRPr="005D1186">
              <w:t>urement, preparation and mixing, from job specifications</w:t>
            </w:r>
          </w:p>
          <w:p w:rsidR="00000000" w:rsidRPr="005D1186" w:rsidP="005D1186">
            <w:pPr>
              <w:pStyle w:val="BodyText"/>
            </w:pPr>
            <w:r w:rsidRPr="005D1186">
              <w:t xml:space="preserve">1.3 Plan production process and task sequence and set quality standards based on expected characteristics of blended material </w:t>
            </w:r>
          </w:p>
          <w:p w:rsidR="00000000" w:rsidRPr="005D1186" w:rsidP="005D1186">
            <w:pPr>
              <w:pStyle w:val="BodyText"/>
            </w:pPr>
            <w:r w:rsidRPr="005D1186">
              <w:t>1.4 Identify process for delivery of material to production area from jo</w:t>
            </w:r>
            <w:r w:rsidRPr="005D1186">
              <w:t>b requirements and workplace safe handling procedures</w:t>
            </w:r>
          </w:p>
          <w:p w:rsidR="00000000" w:rsidP="005D1186">
            <w:pPr>
              <w:pStyle w:val="BodyText"/>
              <w:rPr>
                <w:lang w:val="en-NZ"/>
              </w:rPr>
            </w:pPr>
            <w:r w:rsidRPr="005D1186">
              <w:t xml:space="preserve">1.5 Perform pre-operational checks including checking for and acting on hazards </w:t>
            </w:r>
          </w:p>
        </w:tc>
      </w:tr>
      <w:tr w:rsidTr="005D11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186">
            <w:pPr>
              <w:pStyle w:val="BodyText"/>
              <w:rPr>
                <w:lang w:val="en-NZ"/>
              </w:rPr>
            </w:pPr>
            <w:r w:rsidRPr="005D1186">
              <w:t>2. Conduct hand mixing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186" w:rsidP="005D1186">
            <w:pPr>
              <w:pStyle w:val="BodyText"/>
            </w:pPr>
            <w:r w:rsidRPr="005D1186">
              <w:t>2.1 Verify equipment information, production process, materials and required quality s</w:t>
            </w:r>
            <w:r w:rsidRPr="005D1186">
              <w:t>pecifications against job specifications</w:t>
            </w:r>
          </w:p>
          <w:p w:rsidR="00000000" w:rsidRPr="005D1186" w:rsidP="005D1186">
            <w:pPr>
              <w:pStyle w:val="BodyText"/>
            </w:pPr>
            <w:r w:rsidRPr="005D1186">
              <w:t>2.2 Check process is operating as expected against job requirements and verify changes to materials at each stage of blending</w:t>
            </w:r>
          </w:p>
          <w:p w:rsidR="00000000" w:rsidRPr="005D1186" w:rsidP="005D1186">
            <w:pPr>
              <w:pStyle w:val="BodyText"/>
            </w:pPr>
            <w:r w:rsidRPr="005D1186">
              <w:t xml:space="preserve">2.3 Ensure output meets job specifications and quality standards </w:t>
            </w:r>
          </w:p>
          <w:p w:rsidR="00000000" w:rsidRPr="005D1186" w:rsidP="005D1186">
            <w:pPr>
              <w:pStyle w:val="BodyText"/>
            </w:pPr>
            <w:r w:rsidRPr="005D1186">
              <w:t>2.4 Transfer hand mixed</w:t>
            </w:r>
            <w:r w:rsidRPr="005D1186">
              <w:t xml:space="preserve"> materials to location of use and follow established methods to pour</w:t>
            </w:r>
          </w:p>
          <w:p w:rsidR="00000000" w:rsidRPr="005D1186" w:rsidP="005D1186">
            <w:pPr>
              <w:pStyle w:val="BodyText"/>
            </w:pPr>
            <w:r w:rsidRPr="005D1186">
              <w:t>2.5 Apply waste management strategies to collect excess, discarded or nonconforming materials to be disposed of, recycled or reprocessed according to workplace procedures</w:t>
            </w:r>
          </w:p>
          <w:p w:rsidR="00000000" w:rsidP="005D1186">
            <w:pPr>
              <w:pStyle w:val="BodyText"/>
              <w:rPr>
                <w:lang w:val="en-NZ"/>
              </w:rPr>
            </w:pPr>
            <w:r w:rsidRPr="005D1186">
              <w:t>2.6 Clean equipm</w:t>
            </w:r>
            <w:r w:rsidRPr="005D1186">
              <w:t>ent and work area according to equipment specifications and workplace procedures</w:t>
            </w:r>
          </w:p>
        </w:tc>
      </w:tr>
      <w:tr w:rsidTr="005D11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186">
            <w:pPr>
              <w:pStyle w:val="BodyText"/>
              <w:rPr>
                <w:lang w:val="en-NZ"/>
              </w:rPr>
            </w:pPr>
            <w:r w:rsidRPr="005D1186">
              <w:t>3.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186" w:rsidP="005D1186">
            <w:pPr>
              <w:pStyle w:val="BodyText"/>
            </w:pPr>
            <w:r w:rsidRPr="005D1186">
              <w:t>3.1 Recognise and log process control variances and their causes</w:t>
            </w:r>
          </w:p>
          <w:p w:rsidR="00000000" w:rsidRPr="005D1186" w:rsidP="005D1186">
            <w:pPr>
              <w:pStyle w:val="BodyText"/>
            </w:pPr>
            <w:r w:rsidRPr="005D1186">
              <w:t>3.2 Determine, prioritise and implement remedial and preventative act</w:t>
            </w:r>
            <w:r w:rsidRPr="005D1186">
              <w:t>ions based on identified issues and causes</w:t>
            </w:r>
          </w:p>
          <w:p w:rsidR="00000000" w:rsidRPr="005D1186" w:rsidP="005D1186">
            <w:pPr>
              <w:pStyle w:val="BodyText"/>
            </w:pPr>
            <w:r w:rsidRPr="005D1186">
              <w:t>3.3 Accurately maintain records and logbooks</w:t>
            </w:r>
          </w:p>
        </w:tc>
      </w:tr>
    </w:tbl>
    <w:p w:rsidR="006A5634" w:rsidP="005D1186">
      <w:pPr>
        <w:pStyle w:val="BodyText"/>
      </w:pPr>
    </w:p>
    <w:p w:rsidR="006A5634" w:rsidP="005D1186">
      <w:pPr>
        <w:pStyle w:val="BodyText"/>
      </w:pPr>
    </w:p>
    <w:p w:rsidR="00000000" w:rsidRPr="005D1186" w:rsidP="005D1186">
      <w:pPr>
        <w:pStyle w:val="Heading1"/>
      </w:pPr>
      <w:bookmarkStart w:id="6" w:name="O_1114426"/>
      <w:bookmarkEnd w:id="6"/>
      <w:r w:rsidRPr="005D1186">
        <w:t>Foundation Skills</w:t>
      </w:r>
    </w:p>
    <w:p w:rsidR="00000000" w:rsidRPr="005D1186" w:rsidP="006A5634">
      <w:pPr>
        <w:pStyle w:val="BodyText"/>
      </w:pPr>
      <w:r w:rsidRPr="005D1186">
        <w:t xml:space="preserve">This section describes those language, literacy, numeracy and employment skills that are essential to performance. </w:t>
      </w:r>
    </w:p>
    <w:p w:rsidR="00000000" w:rsidRPr="005D1186" w:rsidP="005D1186">
      <w:pPr>
        <w:pStyle w:val="ListBullet"/>
      </w:pPr>
      <w:r w:rsidRPr="005D1186">
        <w:t>Numeracy skills to interpret technical specifications and measure materials.</w:t>
      </w:r>
    </w:p>
    <w:p w:rsidR="00000000" w:rsidRPr="005D1186" w:rsidP="005D1186">
      <w:pPr>
        <w:pStyle w:val="ListBullet"/>
      </w:pPr>
      <w:r w:rsidRPr="005D1186">
        <w:t>Reading skills to interpret specifications and workplace procedures.</w:t>
      </w:r>
    </w:p>
    <w:p w:rsidR="00000000" w:rsidRPr="005D1186" w:rsidP="005D1186">
      <w:pPr>
        <w:pStyle w:val="ListBullet"/>
      </w:pPr>
      <w:r w:rsidRPr="005D1186">
        <w:t>Writing and oral communication skills to record and report on hand mixing operations.</w:t>
      </w:r>
    </w:p>
    <w:p w:rsidR="00000000" w:rsidRPr="005D1186" w:rsidP="005D1186">
      <w:pPr>
        <w:pStyle w:val="BodyText"/>
      </w:pPr>
    </w:p>
    <w:p w:rsidR="00000000" w:rsidRPr="006A5634" w:rsidP="006A5634">
      <w:pPr>
        <w:pStyle w:val="BodyText"/>
        <w:rPr>
          <w:i/>
        </w:rPr>
      </w:pPr>
      <w:r w:rsidRPr="006A5634">
        <w:rPr>
          <w:rStyle w:val="Emphasis"/>
        </w:rPr>
        <w:t>Other foundation skills</w:t>
      </w:r>
      <w:r w:rsidRPr="006A5634">
        <w:rPr>
          <w:rStyle w:val="Emphasis"/>
        </w:rPr>
        <w:t xml:space="preserve"> essential to performance are explicit in the performance criteria of this unit of competency.</w:t>
      </w:r>
    </w:p>
    <w:p w:rsidR="00000000" w:rsidRPr="005D1186" w:rsidP="005D1186">
      <w:pPr>
        <w:pStyle w:val="Heading1"/>
      </w:pPr>
      <w:bookmarkStart w:id="7" w:name="O_1114428"/>
      <w:bookmarkEnd w:id="7"/>
      <w:r w:rsidRPr="005D1186">
        <w:t>Unit Mapping Information</w:t>
      </w:r>
    </w:p>
    <w:p w:rsidR="00000000" w:rsidRPr="005D1186" w:rsidP="006A5634">
      <w:pPr>
        <w:pStyle w:val="BodyText"/>
      </w:pPr>
      <w:r w:rsidRPr="005D1186">
        <w:t>Supersedes and is equivalent to PMBPROD246 Hand mix materials.</w:t>
      </w:r>
    </w:p>
    <w:p w:rsidR="00000000" w:rsidRPr="005D1186" w:rsidP="005D1186">
      <w:pPr>
        <w:pStyle w:val="Heading1"/>
      </w:pPr>
      <w:bookmarkStart w:id="8" w:name="O_1114435"/>
      <w:bookmarkEnd w:id="8"/>
      <w:r w:rsidRPr="005D1186">
        <w:t>Links</w:t>
      </w:r>
    </w:p>
    <w:p w:rsidR="00000000" w:rsidRPr="005D1186" w:rsidP="006A5634">
      <w:pPr>
        <w:pStyle w:val="BodyText"/>
      </w:pPr>
      <w:r w:rsidRPr="005D118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0265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D1186" w:rsidP="005D1186"/>
    <w:sectPr w:rsidSect="005D11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86" w:rsidRPr="006A5634" w:rsidP="006A5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34" w:rsidP="005D1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634" w:rsidP="005D1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5634" w:rsidP="005D1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186" w:rsidRPr="006A5634" w:rsidP="006A5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34" w:rsidRPr="002D2AF8" w:rsidP="005D1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PMBPROD246E Hand mix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6A5634" w:rsidP="005D1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C6A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3A8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186"/>
  </w:style>
  <w:style w:type="character" w:customStyle="1" w:styleId="Heading1Char">
    <w:name w:val="Heading 1 Char"/>
    <w:basedOn w:val="DefaultParagraphFont"/>
    <w:link w:val="Heading1"/>
    <w:rsid w:val="005D1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1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186"/>
    <w:rPr>
      <w:b/>
      <w:spacing w:val="0"/>
    </w:rPr>
  </w:style>
  <w:style w:type="character" w:styleId="Emphasis">
    <w:name w:val="Emphasis"/>
    <w:basedOn w:val="DefaultParagraphFont"/>
    <w:qFormat/>
    <w:rsid w:val="005D1186"/>
    <w:rPr>
      <w:i/>
    </w:rPr>
  </w:style>
  <w:style w:type="paragraph" w:customStyle="1" w:styleId="SuperHeading">
    <w:name w:val="SuperHeading"/>
    <w:basedOn w:val="Normal"/>
    <w:rsid w:val="005D1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1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1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186"/>
  </w:style>
  <w:style w:type="paragraph" w:styleId="TableofFigures">
    <w:name w:val="table of figures"/>
    <w:basedOn w:val="Normal"/>
    <w:next w:val="Normal"/>
    <w:semiHidden/>
    <w:rsid w:val="005D1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1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186"/>
    <w:rPr>
      <w:rFonts w:ascii="Wingdings" w:hAnsi="Wingdings"/>
    </w:rPr>
  </w:style>
  <w:style w:type="paragraph" w:customStyle="1" w:styleId="TableHeading">
    <w:name w:val="Table Heading"/>
    <w:basedOn w:val="HeadingBase"/>
    <w:rsid w:val="005D1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186"/>
    <w:rPr>
      <w:color w:val="0033CC"/>
      <w:u w:val="none"/>
    </w:rPr>
  </w:style>
  <w:style w:type="paragraph" w:customStyle="1" w:styleId="BodyTextRight">
    <w:name w:val="Body Text Right"/>
    <w:basedOn w:val="BodyText"/>
    <w:rsid w:val="005D1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1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186"/>
    <w:rPr>
      <w:sz w:val="32"/>
    </w:rPr>
  </w:style>
  <w:style w:type="paragraph" w:customStyle="1" w:styleId="HeadingProcedure">
    <w:name w:val="Heading Procedure"/>
    <w:basedOn w:val="HeadingBase"/>
    <w:next w:val="Normal"/>
    <w:rsid w:val="005D1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186"/>
    <w:pPr>
      <w:spacing w:before="60" w:after="60"/>
    </w:pPr>
  </w:style>
  <w:style w:type="paragraph" w:styleId="ListContinue">
    <w:name w:val="List Continue"/>
    <w:basedOn w:val="List"/>
    <w:rsid w:val="005D1186"/>
    <w:pPr>
      <w:ind w:firstLine="0"/>
    </w:pPr>
  </w:style>
  <w:style w:type="paragraph" w:customStyle="1" w:styleId="ListNote">
    <w:name w:val="List Note"/>
    <w:basedOn w:val="List"/>
    <w:rsid w:val="005D1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186"/>
    <w:rPr>
      <w:rFonts w:ascii="Courier New" w:hAnsi="Courier New"/>
    </w:rPr>
  </w:style>
  <w:style w:type="paragraph" w:customStyle="1" w:styleId="NoteBullet">
    <w:name w:val="Note Bullet"/>
    <w:basedOn w:val="Note"/>
    <w:rsid w:val="005D1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1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186"/>
    <w:rPr>
      <w:b/>
      <w:smallCaps/>
    </w:rPr>
  </w:style>
  <w:style w:type="paragraph" w:customStyle="1" w:styleId="TableListNumber">
    <w:name w:val="Table List Number"/>
    <w:basedOn w:val="ListNumber"/>
    <w:rsid w:val="005D1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186"/>
    <w:pPr>
      <w:numPr>
        <w:numId w:val="8"/>
      </w:numPr>
    </w:pPr>
  </w:style>
  <w:style w:type="paragraph" w:customStyle="1" w:styleId="ListAlpha2">
    <w:name w:val="List Alpha 2"/>
    <w:basedOn w:val="List2"/>
    <w:rsid w:val="005D1186"/>
    <w:pPr>
      <w:numPr>
        <w:numId w:val="7"/>
      </w:numPr>
    </w:pPr>
  </w:style>
  <w:style w:type="paragraph" w:styleId="List2">
    <w:name w:val="List 2"/>
    <w:basedOn w:val="BodyText"/>
    <w:rsid w:val="005D1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1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1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186"/>
    <w:pPr>
      <w:numPr>
        <w:numId w:val="3"/>
      </w:numPr>
    </w:pPr>
  </w:style>
  <w:style w:type="paragraph" w:styleId="ListContinue2">
    <w:name w:val="List Continue 2"/>
    <w:basedOn w:val="List2"/>
    <w:rsid w:val="005D1186"/>
    <w:pPr>
      <w:ind w:firstLine="0"/>
    </w:pPr>
  </w:style>
  <w:style w:type="paragraph" w:styleId="ListContinue3">
    <w:name w:val="List Continue 3"/>
    <w:basedOn w:val="List3"/>
    <w:rsid w:val="005D1186"/>
    <w:pPr>
      <w:ind w:left="1021" w:firstLine="0"/>
    </w:pPr>
  </w:style>
  <w:style w:type="paragraph" w:styleId="ListContinue4">
    <w:name w:val="List Continue 4"/>
    <w:basedOn w:val="List4"/>
    <w:rsid w:val="005D1186"/>
    <w:pPr>
      <w:ind w:firstLine="0"/>
    </w:pPr>
  </w:style>
  <w:style w:type="paragraph" w:styleId="ListContinue5">
    <w:name w:val="List Continue 5"/>
    <w:basedOn w:val="List5"/>
    <w:rsid w:val="005D1186"/>
    <w:pPr>
      <w:ind w:firstLine="0"/>
    </w:pPr>
  </w:style>
  <w:style w:type="paragraph" w:styleId="ListNumber3">
    <w:name w:val="List Number 3"/>
    <w:basedOn w:val="List3"/>
    <w:rsid w:val="005D1186"/>
    <w:pPr>
      <w:numPr>
        <w:numId w:val="4"/>
      </w:numPr>
    </w:pPr>
  </w:style>
  <w:style w:type="paragraph" w:styleId="ListNumber4">
    <w:name w:val="List Number 4"/>
    <w:basedOn w:val="List4"/>
    <w:rsid w:val="005D1186"/>
    <w:pPr>
      <w:numPr>
        <w:numId w:val="5"/>
      </w:numPr>
    </w:pPr>
  </w:style>
  <w:style w:type="paragraph" w:styleId="ListNumber5">
    <w:name w:val="List Number 5"/>
    <w:basedOn w:val="List5"/>
    <w:rsid w:val="005D1186"/>
    <w:pPr>
      <w:numPr>
        <w:numId w:val="6"/>
      </w:numPr>
    </w:pPr>
  </w:style>
  <w:style w:type="paragraph" w:styleId="BlockText">
    <w:name w:val="Block Text"/>
    <w:basedOn w:val="Normal"/>
    <w:rsid w:val="005D1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186"/>
    <w:rPr>
      <w:sz w:val="16"/>
      <w:vertAlign w:val="superscript"/>
    </w:rPr>
  </w:style>
  <w:style w:type="character" w:customStyle="1" w:styleId="Symbols">
    <w:name w:val="Symbols"/>
    <w:basedOn w:val="DefaultParagraphFont"/>
    <w:rsid w:val="005D1186"/>
    <w:rPr>
      <w:rFonts w:ascii="Symbol" w:hAnsi="Symbol"/>
    </w:rPr>
  </w:style>
  <w:style w:type="character" w:customStyle="1" w:styleId="MenuOptions">
    <w:name w:val="Menu Options"/>
    <w:basedOn w:val="DefaultParagraphFont"/>
    <w:rsid w:val="005D1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186"/>
    <w:rPr>
      <w:b/>
    </w:rPr>
  </w:style>
  <w:style w:type="character" w:customStyle="1" w:styleId="Underlined">
    <w:name w:val="Underlined"/>
    <w:basedOn w:val="DefaultParagraphFont"/>
    <w:rsid w:val="005D1186"/>
    <w:rPr>
      <w:u w:val="single"/>
    </w:rPr>
  </w:style>
  <w:style w:type="paragraph" w:customStyle="1" w:styleId="TableBodyTextRight">
    <w:name w:val="Table Body Text Right"/>
    <w:basedOn w:val="TableBodyText"/>
    <w:rsid w:val="005D1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186"/>
    <w:rPr>
      <w:sz w:val="18"/>
    </w:rPr>
  </w:style>
  <w:style w:type="paragraph" w:customStyle="1" w:styleId="BodySmallRight">
    <w:name w:val="Body Small Right"/>
    <w:basedOn w:val="BodyTextRight"/>
    <w:rsid w:val="005D1186"/>
    <w:rPr>
      <w:sz w:val="18"/>
      <w:szCs w:val="18"/>
    </w:rPr>
  </w:style>
  <w:style w:type="paragraph" w:customStyle="1" w:styleId="MarginEdition">
    <w:name w:val="Margin Edition"/>
    <w:basedOn w:val="MarginNote"/>
    <w:rsid w:val="005D1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186"/>
    <w:rPr>
      <w:sz w:val="2"/>
      <w:szCs w:val="2"/>
    </w:rPr>
  </w:style>
  <w:style w:type="character" w:customStyle="1" w:styleId="Small">
    <w:name w:val="Small"/>
    <w:basedOn w:val="DefaultParagraphFont"/>
    <w:rsid w:val="005D1186"/>
    <w:rPr>
      <w:sz w:val="16"/>
    </w:rPr>
  </w:style>
  <w:style w:type="paragraph" w:customStyle="1" w:styleId="WideTable">
    <w:name w:val="Wide Table"/>
    <w:basedOn w:val="Normal"/>
    <w:rsid w:val="005D1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186"/>
  </w:style>
  <w:style w:type="paragraph" w:styleId="Quote">
    <w:name w:val="Quote"/>
    <w:basedOn w:val="Heading1"/>
    <w:link w:val="QuoteChar"/>
    <w:qFormat/>
    <w:rsid w:val="005D1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186"/>
    <w:pPr>
      <w:pageBreakBefore/>
    </w:pPr>
  </w:style>
  <w:style w:type="paragraph" w:customStyle="1" w:styleId="Border">
    <w:name w:val="Border"/>
    <w:basedOn w:val="Normal"/>
    <w:qFormat/>
    <w:rsid w:val="005D1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186"/>
    <w:rPr>
      <w:u w:val="single"/>
    </w:rPr>
  </w:style>
  <w:style w:type="character" w:customStyle="1" w:styleId="BoldandItalics">
    <w:name w:val="Bold and Italics"/>
    <w:qFormat/>
    <w:rsid w:val="005D1186"/>
    <w:rPr>
      <w:b/>
      <w:i/>
      <w:u w:val="none"/>
    </w:rPr>
  </w:style>
  <w:style w:type="paragraph" w:styleId="BalloonText">
    <w:name w:val="Balloon Text"/>
    <w:basedOn w:val="Normal"/>
    <w:link w:val="BalloonTextChar"/>
    <w:rsid w:val="005D1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186"/>
    <w:pPr>
      <w:spacing w:before="0" w:after="0"/>
    </w:pPr>
  </w:style>
  <w:style w:type="paragraph" w:customStyle="1" w:styleId="BodyTextBold">
    <w:name w:val="Body Text Bold"/>
    <w:basedOn w:val="BodyText"/>
    <w:qFormat/>
    <w:rsid w:val="005D1186"/>
    <w:rPr>
      <w:b/>
    </w:rPr>
  </w:style>
  <w:style w:type="character" w:styleId="Hyperlink">
    <w:name w:val="Hyperlink"/>
    <w:basedOn w:val="DefaultParagraphFont"/>
    <w:uiPriority w:val="99"/>
    <w:unhideWhenUsed/>
    <w:rsid w:val="006A5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3266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PMBPROD246E Hand mix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