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15C" w:rsidP="00367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PMBPROD246E Hand mix materials</w:t>
      </w:r>
      <w:r>
        <w:fldChar w:fldCharType="end"/>
      </w:r>
    </w:p>
    <w:p w:rsidR="0036715C" w:rsidP="0036715C">
      <w:pPr>
        <w:pStyle w:val="Version"/>
        <w:sectPr w:rsidSect="00CA48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812" w:rsidP="00CA4812">
      <w:pPr>
        <w:pStyle w:val="SuperHeading"/>
      </w:pPr>
      <w:r w:rsidRPr="00CA4812">
        <w:t>Assessment Requirements for PMBPROD246E Hand mix materials</w:t>
      </w:r>
    </w:p>
    <w:p w:rsidR="00000000" w:rsidRPr="00CA4812" w:rsidP="00CA4812">
      <w:pPr>
        <w:pStyle w:val="Heading1"/>
      </w:pPr>
      <w:bookmarkStart w:id="1" w:name="O_1114430"/>
      <w:bookmarkEnd w:id="1"/>
      <w:r w:rsidRPr="00CA4812">
        <w:t>Modification History</w:t>
      </w:r>
    </w:p>
    <w:p w:rsidR="00000000" w:rsidRPr="00CA4812" w:rsidP="0036715C">
      <w:pPr>
        <w:pStyle w:val="BodyText"/>
      </w:pPr>
      <w:r w:rsidRPr="00CA4812">
        <w:t>Release 1. Unit code changed. Application changed. Elements and Performance Criteria changed. Range of Conditions removed. Assessment Requirements changed. Supersedes and is equivalent to PMBPROD246 Hand mix materials</w:t>
      </w:r>
      <w:r w:rsidRPr="00CA4812">
        <w:t>.</w:t>
      </w:r>
    </w:p>
    <w:p w:rsidR="00000000" w:rsidRPr="00CA4812" w:rsidP="00CA4812">
      <w:pPr>
        <w:pStyle w:val="Heading1"/>
      </w:pPr>
      <w:bookmarkStart w:id="2" w:name="O_1114431"/>
      <w:bookmarkEnd w:id="2"/>
      <w:r w:rsidRPr="00CA4812">
        <w:t>Performance Evidence</w:t>
      </w:r>
    </w:p>
    <w:p w:rsidR="00000000" w:rsidRPr="00CA4812" w:rsidP="0036715C">
      <w:pPr>
        <w:pStyle w:val="BodyText"/>
      </w:pPr>
      <w:r w:rsidRPr="00CA4812">
        <w:t>There must be evidence the candidate has completed the tasks outlined in the elements and performance criteria of this unit, and demonstrated the ability to:</w:t>
      </w:r>
    </w:p>
    <w:p w:rsidR="00000000" w:rsidRPr="00CA4812" w:rsidP="00CA4812">
      <w:pPr>
        <w:pStyle w:val="ListBullet"/>
      </w:pPr>
      <w:r w:rsidRPr="00CA4812">
        <w:t>hand mix materials at least once to meet job specificat</w:t>
      </w:r>
      <w:r w:rsidRPr="00CA4812">
        <w:t>ions.</w:t>
      </w:r>
    </w:p>
    <w:p w:rsidR="00000000" w:rsidRPr="00CA4812" w:rsidP="00CA4812">
      <w:pPr>
        <w:pStyle w:val="AllowPageBreak"/>
      </w:pPr>
    </w:p>
    <w:p w:rsidR="00000000" w:rsidRPr="00CA4812" w:rsidP="00CA4812">
      <w:pPr>
        <w:pStyle w:val="Heading1"/>
      </w:pPr>
      <w:bookmarkStart w:id="3" w:name="O_1114432"/>
      <w:bookmarkEnd w:id="3"/>
      <w:r w:rsidRPr="00CA4812">
        <w:t>Knowledge Evidence</w:t>
      </w:r>
    </w:p>
    <w:p w:rsidR="00000000" w:rsidRPr="00CA4812" w:rsidP="0036715C">
      <w:pPr>
        <w:pStyle w:val="BodyText"/>
      </w:pPr>
      <w:r w:rsidRPr="00CA4812">
        <w:t>There must be evidence the candidate has knowledge of:</w:t>
      </w:r>
    </w:p>
    <w:p w:rsidR="00000000" w:rsidRPr="00CA4812" w:rsidP="00CA4812">
      <w:pPr>
        <w:pStyle w:val="ListBullet"/>
      </w:pPr>
      <w:r w:rsidRPr="00CA4812">
        <w:t>principles of hand mixing materials</w:t>
      </w:r>
    </w:p>
    <w:p w:rsidR="00000000" w:rsidRPr="00CA4812" w:rsidP="00CA4812">
      <w:pPr>
        <w:pStyle w:val="ListBullet"/>
      </w:pPr>
      <w:r w:rsidRPr="00CA4812">
        <w:t>types and applications of materials commonly mixed by hand</w:t>
      </w:r>
    </w:p>
    <w:p w:rsidR="00000000" w:rsidRPr="00CA4812" w:rsidP="00CA4812">
      <w:pPr>
        <w:pStyle w:val="ListBullet"/>
      </w:pPr>
      <w:r w:rsidRPr="00CA4812">
        <w:t>types of measuring systems and devices and their applications</w:t>
      </w:r>
    </w:p>
    <w:p w:rsidR="00000000" w:rsidRPr="00CA4812" w:rsidP="00CA4812">
      <w:pPr>
        <w:pStyle w:val="ListBullet"/>
      </w:pPr>
      <w:r w:rsidRPr="00CA4812">
        <w:t xml:space="preserve">the ways in which production processes and product quality are driven by the characteristics of commonly blended materials </w:t>
      </w:r>
    </w:p>
    <w:p w:rsidR="00000000" w:rsidRPr="00CA4812" w:rsidP="00CA4812">
      <w:pPr>
        <w:pStyle w:val="ListBullet"/>
      </w:pPr>
      <w:r w:rsidRPr="00CA4812">
        <w:t>the criteria for pre-operational checks relating to the process or equipment being used</w:t>
      </w:r>
    </w:p>
    <w:p w:rsidR="00000000" w:rsidRPr="00CA4812" w:rsidP="00CA4812">
      <w:pPr>
        <w:pStyle w:val="ListBullet"/>
      </w:pPr>
      <w:r w:rsidRPr="00CA4812">
        <w:t>techniques for safe handling of materials</w:t>
      </w:r>
    </w:p>
    <w:p w:rsidR="00000000" w:rsidRPr="00CA4812" w:rsidP="00CA4812">
      <w:pPr>
        <w:pStyle w:val="ListBullet"/>
      </w:pPr>
      <w:r w:rsidRPr="00CA4812">
        <w:t>i</w:t>
      </w:r>
      <w:r w:rsidRPr="00CA4812">
        <w:t>mpact of incorrect or faulty materials on mixture</w:t>
      </w:r>
    </w:p>
    <w:p w:rsidR="00000000" w:rsidRPr="00CA4812" w:rsidP="00CA4812">
      <w:pPr>
        <w:pStyle w:val="ListBullet"/>
      </w:pPr>
      <w:r w:rsidRPr="00CA4812">
        <w:t>production workflow sequences and materials demand</w:t>
      </w:r>
    </w:p>
    <w:p w:rsidR="00000000" w:rsidRPr="00CA4812" w:rsidP="00CA4812">
      <w:pPr>
        <w:pStyle w:val="ListBullet"/>
      </w:pPr>
      <w:r w:rsidRPr="00CA4812">
        <w:t>key variables that may affect product quality and production output:</w:t>
      </w:r>
    </w:p>
    <w:p w:rsidR="00000000" w:rsidRPr="00CA4812" w:rsidP="00CA4812">
      <w:pPr>
        <w:pStyle w:val="ListBullet2"/>
      </w:pPr>
      <w:r w:rsidRPr="00CA4812">
        <w:t>atmospheric conditions</w:t>
      </w:r>
    </w:p>
    <w:p w:rsidR="00000000" w:rsidRPr="00CA4812" w:rsidP="00CA4812">
      <w:pPr>
        <w:pStyle w:val="ListBullet2"/>
      </w:pPr>
      <w:r w:rsidRPr="00CA4812">
        <w:t>sequencing of material additions to the mix</w:t>
      </w:r>
    </w:p>
    <w:p w:rsidR="00000000" w:rsidRPr="00CA4812" w:rsidP="00CA4812">
      <w:pPr>
        <w:pStyle w:val="ListBullet2"/>
      </w:pPr>
      <w:r w:rsidRPr="00CA4812">
        <w:t>volumes or mass of materials being mixed</w:t>
      </w:r>
    </w:p>
    <w:p w:rsidR="00000000" w:rsidRPr="00CA4812" w:rsidP="00CA4812">
      <w:pPr>
        <w:pStyle w:val="ListBullet2"/>
      </w:pPr>
      <w:r w:rsidRPr="00CA4812">
        <w:t>mixing time</w:t>
      </w:r>
    </w:p>
    <w:p w:rsidR="00000000" w:rsidRPr="00CA4812" w:rsidP="00CA4812">
      <w:pPr>
        <w:pStyle w:val="ListBullet2"/>
      </w:pPr>
      <w:r w:rsidRPr="00CA4812">
        <w:t>amount of moisture</w:t>
      </w:r>
    </w:p>
    <w:p w:rsidR="00000000" w:rsidRPr="00CA4812" w:rsidP="00CA4812">
      <w:pPr>
        <w:pStyle w:val="ListBullet2"/>
      </w:pPr>
      <w:r w:rsidRPr="00CA4812">
        <w:t>product quality</w:t>
      </w:r>
    </w:p>
    <w:p w:rsidR="00000000" w:rsidRPr="00CA4812" w:rsidP="00CA4812">
      <w:pPr>
        <w:pStyle w:val="ListBullet"/>
      </w:pPr>
      <w:r w:rsidRPr="00CA4812">
        <w:t>typical process and product problems, including early warning signs, possible causes and corrective actions:</w:t>
      </w:r>
    </w:p>
    <w:p w:rsidR="00000000" w:rsidRPr="00CA4812" w:rsidP="00CA4812">
      <w:pPr>
        <w:pStyle w:val="ListBullet2"/>
      </w:pPr>
      <w:r w:rsidRPr="00CA4812">
        <w:t>incorrect material composition</w:t>
      </w:r>
    </w:p>
    <w:p w:rsidR="00000000" w:rsidRPr="00CA4812" w:rsidP="00CA4812">
      <w:pPr>
        <w:pStyle w:val="ListBullet2"/>
      </w:pPr>
      <w:r w:rsidRPr="00CA4812">
        <w:t>over- or under-mixing</w:t>
      </w:r>
    </w:p>
    <w:p w:rsidR="00000000" w:rsidRPr="00CA4812" w:rsidP="00CA4812">
      <w:pPr>
        <w:pStyle w:val="ListBullet2"/>
      </w:pPr>
      <w:r w:rsidRPr="00CA4812">
        <w:t>faul</w:t>
      </w:r>
      <w:r w:rsidRPr="00CA4812">
        <w:t>ty equipment</w:t>
      </w:r>
    </w:p>
    <w:p w:rsidR="00000000" w:rsidRPr="00CA4812" w:rsidP="00CA4812">
      <w:pPr>
        <w:pStyle w:val="ListBullet2"/>
      </w:pPr>
      <w:r w:rsidRPr="00CA4812">
        <w:t>temperature variations</w:t>
      </w:r>
    </w:p>
    <w:p w:rsidR="00000000" w:rsidRPr="00CA4812" w:rsidP="00CA4812">
      <w:pPr>
        <w:pStyle w:val="ListBullet2"/>
      </w:pPr>
      <w:r w:rsidRPr="00CA4812">
        <w:t>variations in materials</w:t>
      </w:r>
    </w:p>
    <w:p w:rsidR="00000000" w:rsidRPr="00CA4812" w:rsidP="00CA4812">
      <w:pPr>
        <w:pStyle w:val="ListBullet2"/>
      </w:pPr>
      <w:r w:rsidRPr="00CA4812">
        <w:t>variations in setting times</w:t>
      </w:r>
    </w:p>
    <w:p w:rsidR="00000000" w:rsidRPr="00CA4812" w:rsidP="00CA4812">
      <w:pPr>
        <w:pStyle w:val="ListBullet"/>
      </w:pPr>
      <w:r w:rsidRPr="00CA4812">
        <w:t>organisational procedures relevant to the work environment or job role</w:t>
      </w:r>
    </w:p>
    <w:p w:rsidR="00000000" w:rsidRPr="00CA4812" w:rsidP="00CA4812">
      <w:pPr>
        <w:pStyle w:val="ListBullet"/>
      </w:pPr>
      <w:r w:rsidRPr="00CA4812">
        <w:t>hazards such as contamination that may arise in the job or work environment, and:</w:t>
      </w:r>
    </w:p>
    <w:p w:rsidR="00000000" w:rsidRPr="00CA4812" w:rsidP="00CA4812">
      <w:pPr>
        <w:pStyle w:val="ListBullet2"/>
      </w:pPr>
      <w:r w:rsidRPr="00CA4812">
        <w:t>their possibl</w:t>
      </w:r>
      <w:r w:rsidRPr="00CA4812">
        <w:t>e causes or sources</w:t>
      </w:r>
    </w:p>
    <w:p w:rsidR="00000000" w:rsidRPr="00CA4812" w:rsidP="00CA4812">
      <w:pPr>
        <w:pStyle w:val="ListBullet2"/>
      </w:pPr>
      <w:r w:rsidRPr="00CA4812">
        <w:t>potential consequences</w:t>
      </w:r>
    </w:p>
    <w:p w:rsidR="00000000" w:rsidRPr="00CA4812" w:rsidP="00CA4812">
      <w:pPr>
        <w:pStyle w:val="ListBullet2"/>
      </w:pPr>
      <w:r w:rsidRPr="00CA4812">
        <w:t>appropriate risk controls.</w:t>
      </w:r>
    </w:p>
    <w:p w:rsidR="00000000" w:rsidRPr="00CA4812" w:rsidP="00CA4812">
      <w:pPr>
        <w:pStyle w:val="AllowPageBreak"/>
      </w:pPr>
    </w:p>
    <w:p w:rsidR="00000000" w:rsidRPr="00CA4812" w:rsidP="00CA4812">
      <w:pPr>
        <w:pStyle w:val="Heading1"/>
      </w:pPr>
      <w:bookmarkStart w:id="4" w:name="O_1114433"/>
      <w:bookmarkEnd w:id="4"/>
      <w:r w:rsidRPr="00CA4812">
        <w:t>Assessment Conditions</w:t>
      </w:r>
    </w:p>
    <w:p w:rsidR="00000000" w:rsidRPr="00CA4812" w:rsidP="0036715C">
      <w:pPr>
        <w:pStyle w:val="BodyText"/>
      </w:pPr>
      <w:r w:rsidRPr="00CA4812">
        <w:t xml:space="preserve">Skills must have been demonstrated in the workplace or in a simulated environment that reflects workplace conditions and contingencies. </w:t>
      </w:r>
    </w:p>
    <w:p w:rsidR="00000000" w:rsidRPr="00CA4812" w:rsidP="0036715C">
      <w:pPr>
        <w:pStyle w:val="BodyText"/>
      </w:pPr>
      <w:r w:rsidRPr="00CA4812">
        <w:t>Assessors must satisfy the NVR/AQTF mandatory competency requirements for assessors.</w:t>
      </w:r>
    </w:p>
    <w:p w:rsidR="00000000" w:rsidRPr="00CA4812" w:rsidP="00CA4812">
      <w:pPr>
        <w:pStyle w:val="Heading1"/>
      </w:pPr>
      <w:bookmarkStart w:id="5" w:name="O_1114436"/>
      <w:bookmarkEnd w:id="5"/>
      <w:r w:rsidRPr="00CA4812">
        <w:t>Links</w:t>
      </w:r>
    </w:p>
    <w:p w:rsidR="00000000" w:rsidRPr="00CA4812" w:rsidP="0036715C">
      <w:pPr>
        <w:pStyle w:val="BodyText"/>
      </w:pPr>
      <w:r w:rsidRPr="00CA481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51AD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A4812" w:rsidP="00CA4812"/>
    <w:sectPr w:rsidSect="00CA48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12" w:rsidRPr="0036715C" w:rsidP="00367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5C" w:rsidP="00CA4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715C" w:rsidP="00CA4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715C" w:rsidP="00CA48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812" w:rsidRPr="0036715C" w:rsidP="00367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5C" w:rsidRPr="002D2AF8" w:rsidP="00CA4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PMBPROD246E Hand mix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6715C" w:rsidP="00CA48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1ABB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E6D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BA95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8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8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8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8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8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8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8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8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8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8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812"/>
  </w:style>
  <w:style w:type="character" w:customStyle="1" w:styleId="Heading1Char">
    <w:name w:val="Heading 1 Char"/>
    <w:basedOn w:val="DefaultParagraphFont"/>
    <w:link w:val="Heading1"/>
    <w:rsid w:val="00CA48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8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8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8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48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48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8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8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8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8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8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8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8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8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8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8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8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8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8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8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8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8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8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4812"/>
    <w:rPr>
      <w:b/>
      <w:spacing w:val="0"/>
    </w:rPr>
  </w:style>
  <w:style w:type="paragraph" w:customStyle="1" w:styleId="SuperTitle">
    <w:name w:val="SuperTitle"/>
    <w:basedOn w:val="Title"/>
    <w:rsid w:val="00CA48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8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8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48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8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8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8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8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8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8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8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8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812"/>
    <w:rPr>
      <w:i/>
    </w:rPr>
  </w:style>
  <w:style w:type="paragraph" w:styleId="Caption">
    <w:name w:val="caption"/>
    <w:basedOn w:val="BodyText"/>
    <w:next w:val="Normal"/>
    <w:qFormat/>
    <w:rsid w:val="00CA48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8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8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812"/>
  </w:style>
  <w:style w:type="paragraph" w:styleId="TableofFigures">
    <w:name w:val="table of figures"/>
    <w:basedOn w:val="Normal"/>
    <w:next w:val="Normal"/>
    <w:semiHidden/>
    <w:rsid w:val="00CA48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8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4812"/>
    <w:rPr>
      <w:rFonts w:ascii="Wingdings" w:hAnsi="Wingdings"/>
    </w:rPr>
  </w:style>
  <w:style w:type="paragraph" w:customStyle="1" w:styleId="TableHeading">
    <w:name w:val="Table Heading"/>
    <w:basedOn w:val="HeadingBase"/>
    <w:rsid w:val="00CA48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812"/>
    <w:rPr>
      <w:color w:val="0033CC"/>
      <w:u w:val="none"/>
    </w:rPr>
  </w:style>
  <w:style w:type="paragraph" w:customStyle="1" w:styleId="BodyTextRight">
    <w:name w:val="Body Text Right"/>
    <w:basedOn w:val="BodyText"/>
    <w:rsid w:val="00CA48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8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8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8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8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8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812"/>
    <w:rPr>
      <w:sz w:val="32"/>
    </w:rPr>
  </w:style>
  <w:style w:type="paragraph" w:customStyle="1" w:styleId="HeadingProcedure">
    <w:name w:val="Heading Procedure"/>
    <w:basedOn w:val="HeadingBase"/>
    <w:next w:val="Normal"/>
    <w:rsid w:val="00CA48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812"/>
    <w:pPr>
      <w:spacing w:before="60" w:after="60"/>
    </w:pPr>
  </w:style>
  <w:style w:type="paragraph" w:styleId="ListContinue">
    <w:name w:val="List Continue"/>
    <w:basedOn w:val="List"/>
    <w:rsid w:val="00CA4812"/>
    <w:pPr>
      <w:ind w:firstLine="0"/>
    </w:pPr>
  </w:style>
  <w:style w:type="paragraph" w:customStyle="1" w:styleId="ListNote">
    <w:name w:val="List Note"/>
    <w:basedOn w:val="List"/>
    <w:rsid w:val="00CA48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8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8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812"/>
    <w:rPr>
      <w:rFonts w:ascii="Courier New" w:hAnsi="Courier New"/>
    </w:rPr>
  </w:style>
  <w:style w:type="paragraph" w:customStyle="1" w:styleId="NoteBullet">
    <w:name w:val="Note Bullet"/>
    <w:basedOn w:val="Note"/>
    <w:rsid w:val="00CA48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8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8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8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8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48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8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812"/>
    <w:rPr>
      <w:b/>
      <w:smallCaps/>
    </w:rPr>
  </w:style>
  <w:style w:type="paragraph" w:customStyle="1" w:styleId="TableListNumber">
    <w:name w:val="Table List Number"/>
    <w:basedOn w:val="ListNumber"/>
    <w:rsid w:val="00CA48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8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812"/>
    <w:pPr>
      <w:numPr>
        <w:numId w:val="9"/>
      </w:numPr>
    </w:pPr>
  </w:style>
  <w:style w:type="paragraph" w:customStyle="1" w:styleId="ListAlpha2">
    <w:name w:val="List Alpha 2"/>
    <w:basedOn w:val="List2"/>
    <w:rsid w:val="00CA4812"/>
    <w:pPr>
      <w:numPr>
        <w:numId w:val="8"/>
      </w:numPr>
    </w:pPr>
  </w:style>
  <w:style w:type="paragraph" w:styleId="List2">
    <w:name w:val="List 2"/>
    <w:basedOn w:val="BodyText"/>
    <w:rsid w:val="00CA48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8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8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8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8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8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4812"/>
    <w:pPr>
      <w:numPr>
        <w:numId w:val="4"/>
      </w:numPr>
    </w:pPr>
  </w:style>
  <w:style w:type="paragraph" w:styleId="ListContinue2">
    <w:name w:val="List Continue 2"/>
    <w:basedOn w:val="List2"/>
    <w:rsid w:val="00CA4812"/>
    <w:pPr>
      <w:ind w:firstLine="0"/>
    </w:pPr>
  </w:style>
  <w:style w:type="paragraph" w:styleId="ListContinue3">
    <w:name w:val="List Continue 3"/>
    <w:basedOn w:val="List3"/>
    <w:rsid w:val="00CA4812"/>
    <w:pPr>
      <w:ind w:left="1021" w:firstLine="0"/>
    </w:pPr>
  </w:style>
  <w:style w:type="paragraph" w:styleId="ListContinue4">
    <w:name w:val="List Continue 4"/>
    <w:basedOn w:val="List4"/>
    <w:rsid w:val="00CA4812"/>
    <w:pPr>
      <w:ind w:firstLine="0"/>
    </w:pPr>
  </w:style>
  <w:style w:type="paragraph" w:styleId="ListContinue5">
    <w:name w:val="List Continue 5"/>
    <w:basedOn w:val="List5"/>
    <w:rsid w:val="00CA4812"/>
    <w:pPr>
      <w:ind w:firstLine="0"/>
    </w:pPr>
  </w:style>
  <w:style w:type="paragraph" w:styleId="ListNumber3">
    <w:name w:val="List Number 3"/>
    <w:basedOn w:val="List3"/>
    <w:rsid w:val="00CA4812"/>
    <w:pPr>
      <w:numPr>
        <w:numId w:val="5"/>
      </w:numPr>
    </w:pPr>
  </w:style>
  <w:style w:type="paragraph" w:styleId="ListNumber4">
    <w:name w:val="List Number 4"/>
    <w:basedOn w:val="List4"/>
    <w:rsid w:val="00CA4812"/>
    <w:pPr>
      <w:numPr>
        <w:numId w:val="6"/>
      </w:numPr>
    </w:pPr>
  </w:style>
  <w:style w:type="paragraph" w:styleId="ListNumber5">
    <w:name w:val="List Number 5"/>
    <w:basedOn w:val="List5"/>
    <w:rsid w:val="00CA4812"/>
    <w:pPr>
      <w:numPr>
        <w:numId w:val="7"/>
      </w:numPr>
    </w:pPr>
  </w:style>
  <w:style w:type="paragraph" w:styleId="BlockText">
    <w:name w:val="Block Text"/>
    <w:basedOn w:val="Normal"/>
    <w:rsid w:val="00CA48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8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812"/>
    <w:rPr>
      <w:sz w:val="16"/>
      <w:vertAlign w:val="superscript"/>
    </w:rPr>
  </w:style>
  <w:style w:type="character" w:customStyle="1" w:styleId="Symbols">
    <w:name w:val="Symbols"/>
    <w:basedOn w:val="DefaultParagraphFont"/>
    <w:rsid w:val="00CA4812"/>
    <w:rPr>
      <w:rFonts w:ascii="Symbol" w:hAnsi="Symbol"/>
    </w:rPr>
  </w:style>
  <w:style w:type="character" w:customStyle="1" w:styleId="MenuOptions">
    <w:name w:val="Menu Options"/>
    <w:basedOn w:val="DefaultParagraphFont"/>
    <w:rsid w:val="00CA48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812"/>
    <w:rPr>
      <w:b/>
    </w:rPr>
  </w:style>
  <w:style w:type="character" w:customStyle="1" w:styleId="Underlined">
    <w:name w:val="Underlined"/>
    <w:basedOn w:val="DefaultParagraphFont"/>
    <w:rsid w:val="00CA4812"/>
    <w:rPr>
      <w:u w:val="single"/>
    </w:rPr>
  </w:style>
  <w:style w:type="paragraph" w:customStyle="1" w:styleId="TableBodyTextRight">
    <w:name w:val="Table Body Text Right"/>
    <w:basedOn w:val="TableBodyText"/>
    <w:rsid w:val="00CA48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812"/>
    <w:rPr>
      <w:sz w:val="18"/>
    </w:rPr>
  </w:style>
  <w:style w:type="paragraph" w:customStyle="1" w:styleId="BodySmallRight">
    <w:name w:val="Body Small Right"/>
    <w:basedOn w:val="BodyTextRight"/>
    <w:rsid w:val="00CA4812"/>
    <w:rPr>
      <w:sz w:val="18"/>
      <w:szCs w:val="18"/>
    </w:rPr>
  </w:style>
  <w:style w:type="paragraph" w:customStyle="1" w:styleId="MarginEdition">
    <w:name w:val="Margin Edition"/>
    <w:basedOn w:val="MarginNote"/>
    <w:rsid w:val="00CA48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812"/>
    <w:rPr>
      <w:sz w:val="2"/>
      <w:szCs w:val="2"/>
    </w:rPr>
  </w:style>
  <w:style w:type="character" w:customStyle="1" w:styleId="Small">
    <w:name w:val="Small"/>
    <w:basedOn w:val="DefaultParagraphFont"/>
    <w:rsid w:val="00CA4812"/>
    <w:rPr>
      <w:sz w:val="16"/>
    </w:rPr>
  </w:style>
  <w:style w:type="paragraph" w:customStyle="1" w:styleId="WideTable">
    <w:name w:val="Wide Table"/>
    <w:basedOn w:val="Normal"/>
    <w:rsid w:val="00CA48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812"/>
  </w:style>
  <w:style w:type="paragraph" w:styleId="Quote">
    <w:name w:val="Quote"/>
    <w:basedOn w:val="Heading1"/>
    <w:link w:val="QuoteChar"/>
    <w:qFormat/>
    <w:rsid w:val="00CA48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8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812"/>
    <w:pPr>
      <w:pageBreakBefore/>
    </w:pPr>
  </w:style>
  <w:style w:type="paragraph" w:customStyle="1" w:styleId="Border">
    <w:name w:val="Border"/>
    <w:basedOn w:val="Normal"/>
    <w:qFormat/>
    <w:rsid w:val="00CA48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8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8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8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8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8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8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8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8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812"/>
    <w:rPr>
      <w:u w:val="single"/>
    </w:rPr>
  </w:style>
  <w:style w:type="character" w:customStyle="1" w:styleId="BoldandItalics">
    <w:name w:val="Bold and Italics"/>
    <w:qFormat/>
    <w:rsid w:val="00CA4812"/>
    <w:rPr>
      <w:b/>
      <w:i/>
      <w:u w:val="none"/>
    </w:rPr>
  </w:style>
  <w:style w:type="paragraph" w:styleId="BalloonText">
    <w:name w:val="Balloon Text"/>
    <w:basedOn w:val="Normal"/>
    <w:link w:val="BalloonTextChar"/>
    <w:rsid w:val="00CA4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8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8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8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8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8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812"/>
    <w:pPr>
      <w:spacing w:before="0" w:after="0"/>
    </w:pPr>
  </w:style>
  <w:style w:type="paragraph" w:customStyle="1" w:styleId="BodyTextBold">
    <w:name w:val="Body Text Bold"/>
    <w:basedOn w:val="BodyText"/>
    <w:qFormat/>
    <w:rsid w:val="00CA4812"/>
    <w:rPr>
      <w:b/>
    </w:rPr>
  </w:style>
  <w:style w:type="character" w:styleId="Hyperlink">
    <w:name w:val="Hyperlink"/>
    <w:basedOn w:val="DefaultParagraphFont"/>
    <w:uiPriority w:val="99"/>
    <w:unhideWhenUsed/>
    <w:rsid w:val="00367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2154</Characters>
  <Application>Microsoft Office Word</Application>
  <DocSecurity>0</DocSecurity>
  <Lines>59</Lines>
  <Paragraphs>50</Paragraphs>
  <ScaleCrop>false</ScaleCrop>
  <Company>Author-it Software Corporation Ltd.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PMBPROD246E Hand mix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