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E0C" w:rsidP="00817E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PMBPROD221E Operate rotational moulding equipment</w:t>
      </w:r>
      <w:r>
        <w:fldChar w:fldCharType="end"/>
      </w:r>
    </w:p>
    <w:p w:rsidR="00817E0C" w:rsidP="00817E0C">
      <w:pPr>
        <w:pStyle w:val="Version"/>
        <w:sectPr w:rsidSect="00BE6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ABA" w:rsidP="00BE6ABA">
      <w:pPr>
        <w:pStyle w:val="SuperHeading"/>
      </w:pPr>
      <w:r w:rsidRPr="00BE6ABA">
        <w:t>PMBPROD221E Operate rotational moulding equipment</w:t>
      </w:r>
    </w:p>
    <w:p w:rsidR="00000000" w:rsidRPr="00BE6ABA" w:rsidP="00BE6ABA">
      <w:pPr>
        <w:pStyle w:val="Heading1"/>
      </w:pPr>
      <w:bookmarkStart w:id="1" w:name="O_1114230"/>
      <w:bookmarkEnd w:id="1"/>
      <w:r w:rsidRPr="00BE6ABA">
        <w:t>Modification History</w:t>
      </w:r>
    </w:p>
    <w:p w:rsidR="00000000" w:rsidRPr="00BE6ABA" w:rsidP="00817E0C">
      <w:pPr>
        <w:pStyle w:val="BodyText"/>
      </w:pPr>
      <w:r w:rsidRPr="00BE6ABA">
        <w:t xml:space="preserve">Release 1. Unit code changed. Application change. Elements and Performance Criteria changed. Range of Conditions removed. Assessment Requirements changed. Supersedes and is equivalent to PMBPROD221 Operate rotational moulding </w:t>
      </w:r>
      <w:r w:rsidRPr="00BE6ABA">
        <w:t>equipment.</w:t>
      </w:r>
    </w:p>
    <w:p w:rsidR="00000000" w:rsidRPr="00BE6ABA" w:rsidP="00BE6ABA">
      <w:pPr>
        <w:pStyle w:val="Heading1"/>
      </w:pPr>
      <w:bookmarkStart w:id="2" w:name="O_1114231"/>
      <w:bookmarkEnd w:id="2"/>
      <w:r w:rsidRPr="00BE6ABA">
        <w:t>Application</w:t>
      </w:r>
    </w:p>
    <w:p w:rsidR="00000000" w:rsidRPr="00BE6ABA" w:rsidP="00817E0C">
      <w:pPr>
        <w:pStyle w:val="BodyText"/>
      </w:pPr>
      <w:r w:rsidRPr="00BE6ABA">
        <w:t>This unit describes the skills and knowledge required to operate rotational moulding equipment.</w:t>
      </w:r>
    </w:p>
    <w:p w:rsidR="00000000" w:rsidRPr="00BE6ABA" w:rsidP="00817E0C">
      <w:pPr>
        <w:pStyle w:val="BodyText"/>
      </w:pPr>
      <w:r w:rsidRPr="00BE6ABA">
        <w:t>This unit applies to an individual working alone or as part of a team.</w:t>
      </w:r>
    </w:p>
    <w:p w:rsidR="00000000" w:rsidRPr="00BE6ABA" w:rsidP="00817E0C">
      <w:pPr>
        <w:pStyle w:val="BodyText"/>
      </w:pPr>
      <w:r w:rsidRPr="00BE6ABA">
        <w:t>This unit principally refers to general and rou</w:t>
      </w:r>
      <w:r w:rsidRPr="00BE6ABA">
        <w:t>tine machine operation and the knowledge requirements for production undertaken with supervision.</w:t>
      </w:r>
    </w:p>
    <w:p w:rsidR="00000000" w:rsidRPr="00BE6ABA" w:rsidP="00817E0C">
      <w:pPr>
        <w:pStyle w:val="BodyText"/>
      </w:pPr>
      <w:r w:rsidRPr="00BE6ABA">
        <w:t>No licensing or certification requirements exist at the time of publication. Relevant legislation, industry standards and codes of practice within Australia m</w:t>
      </w:r>
      <w:r w:rsidRPr="00BE6ABA">
        <w:t>ust be applied.</w:t>
      </w:r>
    </w:p>
    <w:p w:rsidR="00000000" w:rsidRPr="00BE6ABA" w:rsidP="00BE6ABA">
      <w:pPr>
        <w:pStyle w:val="Heading1"/>
      </w:pPr>
      <w:bookmarkStart w:id="3" w:name="O_1114232"/>
      <w:bookmarkEnd w:id="3"/>
      <w:r w:rsidRPr="00BE6ABA">
        <w:t>Pre-requisite Unit</w:t>
      </w:r>
    </w:p>
    <w:p w:rsidR="00000000" w:rsidRPr="00BE6ABA" w:rsidP="00817E0C">
      <w:pPr>
        <w:pStyle w:val="BodyText"/>
      </w:pPr>
      <w:r w:rsidRPr="00BE6ABA">
        <w:t>Nil</w:t>
      </w:r>
    </w:p>
    <w:p w:rsidR="00000000" w:rsidRPr="00BE6ABA" w:rsidP="00BE6ABA">
      <w:pPr>
        <w:pStyle w:val="Heading1"/>
      </w:pPr>
      <w:bookmarkStart w:id="4" w:name="O_1114233"/>
      <w:bookmarkEnd w:id="4"/>
      <w:r w:rsidRPr="00BE6ABA">
        <w:t>Competency Field</w:t>
      </w:r>
    </w:p>
    <w:p w:rsidR="00000000" w:rsidRPr="00BE6ABA" w:rsidP="00817E0C">
      <w:pPr>
        <w:pStyle w:val="BodyText"/>
      </w:pPr>
      <w:r w:rsidRPr="00BE6ABA">
        <w:t>Production – Rotational Moulding</w:t>
      </w:r>
    </w:p>
    <w:p w:rsidR="00000000" w:rsidRPr="00BE6ABA" w:rsidP="00BE6ABA">
      <w:pPr>
        <w:pStyle w:val="Heading1"/>
      </w:pPr>
      <w:bookmarkStart w:id="5" w:name="O_1114235"/>
      <w:bookmarkEnd w:id="5"/>
      <w:r w:rsidRPr="00BE6ABA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E6AB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BA" w:rsidP="00BE6ABA">
            <w:pPr>
              <w:pStyle w:val="BodyText"/>
            </w:pPr>
            <w:r w:rsidRPr="00BE6ABA">
              <w:rPr>
                <w:rStyle w:val="SpecialBold"/>
              </w:rPr>
              <w:t>Elements</w:t>
            </w:r>
          </w:p>
          <w:p w:rsidR="00000000" w:rsidRPr="00BE6ABA" w:rsidP="00BE6ABA">
            <w:pPr>
              <w:pStyle w:val="BodyText"/>
            </w:pPr>
            <w:r w:rsidRPr="00BE6ABA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BA" w:rsidP="00BE6ABA">
            <w:pPr>
              <w:pStyle w:val="BodyText"/>
            </w:pPr>
            <w:r w:rsidRPr="00BE6ABA">
              <w:rPr>
                <w:rStyle w:val="SpecialBold"/>
              </w:rPr>
              <w:t>Performance Criteria</w:t>
            </w:r>
          </w:p>
          <w:p w:rsidR="00000000" w:rsidP="00BE6ABA">
            <w:pPr>
              <w:pStyle w:val="BodyText"/>
              <w:rPr>
                <w:lang w:val="en-NZ"/>
              </w:rPr>
            </w:pPr>
            <w:r w:rsidRPr="00BE6ABA">
              <w:t>Perf</w:t>
            </w:r>
            <w:r w:rsidRPr="00BE6ABA">
              <w:t>ormance criteria describe the performance needed to demonstrate achievement of the element.</w:t>
            </w:r>
          </w:p>
        </w:tc>
      </w:tr>
      <w:tr w:rsidTr="00BE6AB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BA">
            <w:pPr>
              <w:pStyle w:val="BodyText"/>
              <w:rPr>
                <w:lang w:val="en-NZ"/>
              </w:rPr>
            </w:pPr>
            <w:r w:rsidRPr="00BE6ABA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BA" w:rsidP="00BE6ABA">
            <w:pPr>
              <w:pStyle w:val="BodyText"/>
            </w:pPr>
            <w:r w:rsidRPr="00BE6ABA">
              <w:t>1.1 Identify requirements from production request or job specifications</w:t>
            </w:r>
          </w:p>
          <w:p w:rsidR="00000000" w:rsidRPr="00BE6ABA" w:rsidP="00BE6ABA">
            <w:pPr>
              <w:pStyle w:val="BodyText"/>
            </w:pPr>
            <w:r w:rsidRPr="00BE6ABA">
              <w:t>1.2 Verify polymer materials meet requirements for job</w:t>
            </w:r>
          </w:p>
          <w:p w:rsidR="00000000" w:rsidP="00BE6ABA">
            <w:pPr>
              <w:pStyle w:val="BodyText"/>
              <w:rPr>
                <w:lang w:val="en-NZ"/>
              </w:rPr>
            </w:pPr>
            <w:r w:rsidRPr="00BE6ABA">
              <w:t>1.3 Perform pre-operational checks including checking for and acting on hazards</w:t>
            </w:r>
          </w:p>
        </w:tc>
      </w:tr>
      <w:tr w:rsidTr="00BE6AB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BA">
            <w:pPr>
              <w:pStyle w:val="BodyText"/>
              <w:rPr>
                <w:lang w:val="en-NZ"/>
              </w:rPr>
            </w:pPr>
            <w:r w:rsidRPr="00BE6ABA">
              <w:t>2. Operate rotational moulding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BA" w:rsidP="00BE6ABA">
            <w:pPr>
              <w:pStyle w:val="BodyText"/>
            </w:pPr>
            <w:r w:rsidRPr="00BE6ABA">
              <w:t>2.1 Check process is operating according to equipment specifications and job requirements</w:t>
            </w:r>
          </w:p>
          <w:p w:rsidR="00000000" w:rsidRPr="00BE6ABA" w:rsidP="00BE6ABA">
            <w:pPr>
              <w:pStyle w:val="BodyText"/>
            </w:pPr>
            <w:r w:rsidRPr="00BE6ABA">
              <w:t>2.2 Ensure moulds are ready for next operati</w:t>
            </w:r>
            <w:r w:rsidRPr="00BE6ABA">
              <w:t xml:space="preserve">on according to job </w:t>
            </w:r>
            <w:r w:rsidRPr="00BE6ABA">
              <w:t>requirements</w:t>
            </w:r>
          </w:p>
          <w:p w:rsidR="00000000" w:rsidRPr="00BE6ABA" w:rsidP="00BE6ABA">
            <w:pPr>
              <w:pStyle w:val="BodyText"/>
            </w:pPr>
            <w:r w:rsidRPr="00BE6ABA">
              <w:t>2.3 Monitor and maintain supply of polymer to support operation of equipment</w:t>
            </w:r>
          </w:p>
          <w:p w:rsidR="00000000" w:rsidRPr="00BE6ABA" w:rsidP="00BE6ABA">
            <w:pPr>
              <w:pStyle w:val="BodyText"/>
            </w:pPr>
            <w:r w:rsidRPr="00BE6ABA">
              <w:t>2.4 Demould products and store according to job requirements and workplace procedures</w:t>
            </w:r>
          </w:p>
          <w:p w:rsidR="00000000" w:rsidRPr="00BE6ABA" w:rsidP="00BE6ABA">
            <w:pPr>
              <w:pStyle w:val="BodyText"/>
            </w:pPr>
            <w:r w:rsidRPr="00BE6ABA">
              <w:t>2.5 Accurately complete workplace production output and poly</w:t>
            </w:r>
            <w:r w:rsidRPr="00BE6ABA">
              <w:t>mer usage logs and records</w:t>
            </w:r>
          </w:p>
          <w:p w:rsidR="00000000" w:rsidRPr="00BE6ABA" w:rsidP="00BE6ABA">
            <w:pPr>
              <w:pStyle w:val="BodyText"/>
            </w:pPr>
            <w:r w:rsidRPr="00BE6ABA">
              <w:t>2.6 Apply waste management strategies to collect and segregate scrap, trim and other materials according to workplace procedures</w:t>
            </w:r>
          </w:p>
          <w:p w:rsidR="00000000" w:rsidRPr="00BE6ABA" w:rsidP="00BE6ABA">
            <w:pPr>
              <w:pStyle w:val="BodyText"/>
            </w:pPr>
            <w:r w:rsidRPr="00BE6ABA">
              <w:t>2.7 Clean equipment and work area according to operational and workplace procedures</w:t>
            </w:r>
          </w:p>
          <w:p w:rsidR="00000000" w:rsidP="00BE6ABA">
            <w:pPr>
              <w:pStyle w:val="BodyText"/>
              <w:rPr>
                <w:lang w:val="en-NZ"/>
              </w:rPr>
            </w:pPr>
            <w:r w:rsidRPr="00BE6ABA">
              <w:t>2.8 Pause and st</w:t>
            </w:r>
            <w:r w:rsidRPr="00BE6ABA">
              <w:t>op machine cycle in normal and abnormal circumstances according to workplace procedures</w:t>
            </w:r>
          </w:p>
        </w:tc>
      </w:tr>
      <w:tr w:rsidTr="00BE6ABA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ABA">
            <w:pPr>
              <w:pStyle w:val="BodyText"/>
              <w:rPr>
                <w:lang w:val="en-NZ"/>
              </w:rPr>
            </w:pPr>
            <w:r w:rsidRPr="00BE6ABA">
              <w:t>3.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ABA" w:rsidP="00BE6ABA">
            <w:pPr>
              <w:pStyle w:val="BodyText"/>
            </w:pPr>
            <w:r w:rsidRPr="00BE6ABA">
              <w:t>3.1 Recognise and log process control variances and their issues</w:t>
            </w:r>
          </w:p>
          <w:p w:rsidR="00000000" w:rsidRPr="00BE6ABA" w:rsidP="00BE6ABA">
            <w:pPr>
              <w:pStyle w:val="BodyText"/>
            </w:pPr>
            <w:r w:rsidRPr="00BE6ABA">
              <w:t>3.2 Accurately maintain records and logbooks</w:t>
            </w:r>
          </w:p>
        </w:tc>
      </w:tr>
    </w:tbl>
    <w:p w:rsidR="00817E0C" w:rsidP="00BE6ABA">
      <w:pPr>
        <w:pStyle w:val="BodyText"/>
      </w:pPr>
    </w:p>
    <w:p w:rsidR="00817E0C" w:rsidP="00BE6ABA">
      <w:pPr>
        <w:pStyle w:val="BodyText"/>
      </w:pPr>
    </w:p>
    <w:p w:rsidR="00000000" w:rsidRPr="00BE6ABA" w:rsidP="00BE6ABA">
      <w:pPr>
        <w:pStyle w:val="Heading1"/>
      </w:pPr>
      <w:bookmarkStart w:id="6" w:name="O_1114236"/>
      <w:bookmarkEnd w:id="6"/>
      <w:r w:rsidRPr="00BE6ABA">
        <w:t>Foundation Skills</w:t>
      </w:r>
    </w:p>
    <w:p w:rsidR="00000000" w:rsidRPr="00BE6ABA" w:rsidP="00817E0C">
      <w:pPr>
        <w:pStyle w:val="BodyText"/>
      </w:pPr>
      <w:r w:rsidRPr="00BE6ABA">
        <w:t xml:space="preserve">This section describes those language, literacy, numeracy and employment skills that are essential to performance. </w:t>
      </w:r>
    </w:p>
    <w:p w:rsidR="00000000" w:rsidRPr="00BE6ABA" w:rsidP="00BE6ABA">
      <w:pPr>
        <w:pStyle w:val="ListBullet"/>
      </w:pPr>
      <w:r w:rsidRPr="00BE6ABA">
        <w:t>Numeracy skills to interpret technical information and equipment readings.</w:t>
      </w:r>
    </w:p>
    <w:p w:rsidR="00000000" w:rsidRPr="00BE6ABA" w:rsidP="00BE6ABA">
      <w:pPr>
        <w:pStyle w:val="ListBullet"/>
      </w:pPr>
      <w:r w:rsidRPr="00BE6ABA">
        <w:t>Reading skills to interpret specifica</w:t>
      </w:r>
      <w:r w:rsidRPr="00BE6ABA">
        <w:t>tions and workplace procedures.</w:t>
      </w:r>
    </w:p>
    <w:p w:rsidR="00000000" w:rsidRPr="00BE6ABA" w:rsidP="00BE6ABA">
      <w:pPr>
        <w:pStyle w:val="ListBullet"/>
      </w:pPr>
      <w:r w:rsidRPr="00BE6ABA">
        <w:t>Writing and oral communication skills to record and report on rotational moulding equipment operations.</w:t>
      </w:r>
    </w:p>
    <w:p w:rsidR="00000000" w:rsidRPr="00BE6ABA" w:rsidP="00BE6ABA">
      <w:pPr>
        <w:pStyle w:val="BodyText"/>
      </w:pPr>
    </w:p>
    <w:p w:rsidR="00000000" w:rsidRPr="00817E0C" w:rsidP="00817E0C">
      <w:pPr>
        <w:pStyle w:val="BodyText"/>
        <w:rPr>
          <w:i/>
        </w:rPr>
      </w:pPr>
      <w:r w:rsidRPr="00817E0C">
        <w:rPr>
          <w:rStyle w:val="Emphasis"/>
        </w:rPr>
        <w:t>Other foundation skills essential to performance are explicit in the performance criteria of this unit of competency.</w:t>
      </w:r>
    </w:p>
    <w:p w:rsidR="00000000" w:rsidRPr="00BE6ABA" w:rsidP="00BE6ABA">
      <w:pPr>
        <w:pStyle w:val="Heading1"/>
      </w:pPr>
      <w:bookmarkStart w:id="7" w:name="O_1114238"/>
      <w:bookmarkEnd w:id="7"/>
      <w:r w:rsidRPr="00BE6ABA">
        <w:t>Unit Mapping Information</w:t>
      </w:r>
    </w:p>
    <w:p w:rsidR="00000000" w:rsidRPr="00BE6ABA" w:rsidP="00817E0C">
      <w:pPr>
        <w:pStyle w:val="BodyText"/>
      </w:pPr>
      <w:r w:rsidRPr="00BE6ABA">
        <w:t>Supersedes and is equivalent to PMBPROD221 Operate rotational moulding equipment.</w:t>
      </w:r>
    </w:p>
    <w:p w:rsidR="00000000" w:rsidRPr="00BE6ABA" w:rsidP="00BE6ABA">
      <w:pPr>
        <w:pStyle w:val="Heading1"/>
      </w:pPr>
      <w:bookmarkStart w:id="8" w:name="O_1114245"/>
      <w:bookmarkEnd w:id="8"/>
      <w:r w:rsidRPr="00BE6ABA">
        <w:t>Links</w:t>
      </w:r>
    </w:p>
    <w:p w:rsidR="00000000" w:rsidRPr="00BE6ABA" w:rsidP="00817E0C">
      <w:pPr>
        <w:pStyle w:val="BodyText"/>
      </w:pPr>
      <w:r w:rsidRPr="00BE6ABA">
        <w:t>Companion Volume implementation guides are found in VETNet –</w:t>
      </w:r>
      <w:r w:rsidRPr="00BE6ABA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C286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E6ABA" w:rsidP="00BE6ABA"/>
    <w:sectPr w:rsidSect="00BE6A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BA" w:rsidRPr="00817E0C" w:rsidP="00817E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0C" w:rsidP="00BE6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7E0C" w:rsidP="00BE6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7E0C" w:rsidP="00BE6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ABA" w:rsidRPr="00817E0C" w:rsidP="00817E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E0C" w:rsidRPr="002D2AF8" w:rsidP="00BE6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PMBPROD221E Operate rotational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817E0C" w:rsidP="00BE6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8D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CEB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ABA"/>
  </w:style>
  <w:style w:type="character" w:customStyle="1" w:styleId="Heading1Char">
    <w:name w:val="Heading 1 Char"/>
    <w:basedOn w:val="DefaultParagraphFont"/>
    <w:link w:val="Heading1"/>
    <w:rsid w:val="00BE6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A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ABA"/>
    <w:rPr>
      <w:b/>
      <w:spacing w:val="0"/>
    </w:rPr>
  </w:style>
  <w:style w:type="character" w:styleId="Emphasis">
    <w:name w:val="Emphasis"/>
    <w:basedOn w:val="DefaultParagraphFont"/>
    <w:qFormat/>
    <w:rsid w:val="00BE6ABA"/>
    <w:rPr>
      <w:i/>
    </w:rPr>
  </w:style>
  <w:style w:type="paragraph" w:customStyle="1" w:styleId="SuperHeading">
    <w:name w:val="SuperHeading"/>
    <w:basedOn w:val="Normal"/>
    <w:rsid w:val="00BE6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A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A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ABA"/>
  </w:style>
  <w:style w:type="paragraph" w:styleId="TableofFigures">
    <w:name w:val="table of figures"/>
    <w:basedOn w:val="Normal"/>
    <w:next w:val="Normal"/>
    <w:semiHidden/>
    <w:rsid w:val="00BE6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A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ABA"/>
    <w:rPr>
      <w:rFonts w:ascii="Wingdings" w:hAnsi="Wingdings"/>
    </w:rPr>
  </w:style>
  <w:style w:type="paragraph" w:customStyle="1" w:styleId="TableHeading">
    <w:name w:val="Table Heading"/>
    <w:basedOn w:val="HeadingBase"/>
    <w:rsid w:val="00BE6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ABA"/>
    <w:rPr>
      <w:color w:val="0033CC"/>
      <w:u w:val="none"/>
    </w:rPr>
  </w:style>
  <w:style w:type="paragraph" w:customStyle="1" w:styleId="BodyTextRight">
    <w:name w:val="Body Text Right"/>
    <w:basedOn w:val="BodyText"/>
    <w:rsid w:val="00BE6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A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ABA"/>
    <w:rPr>
      <w:sz w:val="32"/>
    </w:rPr>
  </w:style>
  <w:style w:type="paragraph" w:customStyle="1" w:styleId="HeadingProcedure">
    <w:name w:val="Heading Procedure"/>
    <w:basedOn w:val="HeadingBase"/>
    <w:next w:val="Normal"/>
    <w:rsid w:val="00BE6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ABA"/>
    <w:pPr>
      <w:spacing w:before="60" w:after="60"/>
    </w:pPr>
  </w:style>
  <w:style w:type="paragraph" w:styleId="ListContinue">
    <w:name w:val="List Continue"/>
    <w:basedOn w:val="List"/>
    <w:rsid w:val="00BE6ABA"/>
    <w:pPr>
      <w:ind w:firstLine="0"/>
    </w:pPr>
  </w:style>
  <w:style w:type="paragraph" w:customStyle="1" w:styleId="ListNote">
    <w:name w:val="List Note"/>
    <w:basedOn w:val="List"/>
    <w:rsid w:val="00BE6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ABA"/>
    <w:rPr>
      <w:rFonts w:ascii="Courier New" w:hAnsi="Courier New"/>
    </w:rPr>
  </w:style>
  <w:style w:type="paragraph" w:customStyle="1" w:styleId="NoteBullet">
    <w:name w:val="Note Bullet"/>
    <w:basedOn w:val="Note"/>
    <w:rsid w:val="00BE6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A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ABA"/>
    <w:rPr>
      <w:b/>
      <w:smallCaps/>
    </w:rPr>
  </w:style>
  <w:style w:type="paragraph" w:customStyle="1" w:styleId="TableListNumber">
    <w:name w:val="Table List Number"/>
    <w:basedOn w:val="ListNumber"/>
    <w:rsid w:val="00BE6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ABA"/>
    <w:pPr>
      <w:numPr>
        <w:numId w:val="8"/>
      </w:numPr>
    </w:pPr>
  </w:style>
  <w:style w:type="paragraph" w:customStyle="1" w:styleId="ListAlpha2">
    <w:name w:val="List Alpha 2"/>
    <w:basedOn w:val="List2"/>
    <w:rsid w:val="00BE6ABA"/>
    <w:pPr>
      <w:numPr>
        <w:numId w:val="7"/>
      </w:numPr>
    </w:pPr>
  </w:style>
  <w:style w:type="paragraph" w:styleId="List2">
    <w:name w:val="List 2"/>
    <w:basedOn w:val="BodyText"/>
    <w:rsid w:val="00BE6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A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A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ABA"/>
    <w:pPr>
      <w:numPr>
        <w:numId w:val="3"/>
      </w:numPr>
    </w:pPr>
  </w:style>
  <w:style w:type="paragraph" w:styleId="ListContinue2">
    <w:name w:val="List Continue 2"/>
    <w:basedOn w:val="List2"/>
    <w:rsid w:val="00BE6ABA"/>
    <w:pPr>
      <w:ind w:firstLine="0"/>
    </w:pPr>
  </w:style>
  <w:style w:type="paragraph" w:styleId="ListContinue3">
    <w:name w:val="List Continue 3"/>
    <w:basedOn w:val="List3"/>
    <w:rsid w:val="00BE6ABA"/>
    <w:pPr>
      <w:ind w:left="1021" w:firstLine="0"/>
    </w:pPr>
  </w:style>
  <w:style w:type="paragraph" w:styleId="ListContinue4">
    <w:name w:val="List Continue 4"/>
    <w:basedOn w:val="List4"/>
    <w:rsid w:val="00BE6ABA"/>
    <w:pPr>
      <w:ind w:firstLine="0"/>
    </w:pPr>
  </w:style>
  <w:style w:type="paragraph" w:styleId="ListContinue5">
    <w:name w:val="List Continue 5"/>
    <w:basedOn w:val="List5"/>
    <w:rsid w:val="00BE6ABA"/>
    <w:pPr>
      <w:ind w:firstLine="0"/>
    </w:pPr>
  </w:style>
  <w:style w:type="paragraph" w:styleId="ListNumber3">
    <w:name w:val="List Number 3"/>
    <w:basedOn w:val="List3"/>
    <w:rsid w:val="00BE6ABA"/>
    <w:pPr>
      <w:numPr>
        <w:numId w:val="4"/>
      </w:numPr>
    </w:pPr>
  </w:style>
  <w:style w:type="paragraph" w:styleId="ListNumber4">
    <w:name w:val="List Number 4"/>
    <w:basedOn w:val="List4"/>
    <w:rsid w:val="00BE6ABA"/>
    <w:pPr>
      <w:numPr>
        <w:numId w:val="5"/>
      </w:numPr>
    </w:pPr>
  </w:style>
  <w:style w:type="paragraph" w:styleId="ListNumber5">
    <w:name w:val="List Number 5"/>
    <w:basedOn w:val="List5"/>
    <w:rsid w:val="00BE6ABA"/>
    <w:pPr>
      <w:numPr>
        <w:numId w:val="6"/>
      </w:numPr>
    </w:pPr>
  </w:style>
  <w:style w:type="paragraph" w:styleId="BlockText">
    <w:name w:val="Block Text"/>
    <w:basedOn w:val="Normal"/>
    <w:rsid w:val="00BE6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ABA"/>
    <w:rPr>
      <w:sz w:val="16"/>
      <w:vertAlign w:val="superscript"/>
    </w:rPr>
  </w:style>
  <w:style w:type="character" w:customStyle="1" w:styleId="Symbols">
    <w:name w:val="Symbols"/>
    <w:basedOn w:val="DefaultParagraphFont"/>
    <w:rsid w:val="00BE6ABA"/>
    <w:rPr>
      <w:rFonts w:ascii="Symbol" w:hAnsi="Symbol"/>
    </w:rPr>
  </w:style>
  <w:style w:type="character" w:customStyle="1" w:styleId="MenuOptions">
    <w:name w:val="Menu Options"/>
    <w:basedOn w:val="DefaultParagraphFont"/>
    <w:rsid w:val="00BE6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ABA"/>
    <w:rPr>
      <w:b/>
    </w:rPr>
  </w:style>
  <w:style w:type="character" w:customStyle="1" w:styleId="Underlined">
    <w:name w:val="Underlined"/>
    <w:basedOn w:val="DefaultParagraphFont"/>
    <w:rsid w:val="00BE6ABA"/>
    <w:rPr>
      <w:u w:val="single"/>
    </w:rPr>
  </w:style>
  <w:style w:type="paragraph" w:customStyle="1" w:styleId="TableBodyTextRight">
    <w:name w:val="Table Body Text Right"/>
    <w:basedOn w:val="TableBodyText"/>
    <w:rsid w:val="00BE6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ABA"/>
    <w:rPr>
      <w:sz w:val="18"/>
    </w:rPr>
  </w:style>
  <w:style w:type="paragraph" w:customStyle="1" w:styleId="BodySmallRight">
    <w:name w:val="Body Small Right"/>
    <w:basedOn w:val="BodyTextRight"/>
    <w:rsid w:val="00BE6ABA"/>
    <w:rPr>
      <w:sz w:val="18"/>
      <w:szCs w:val="18"/>
    </w:rPr>
  </w:style>
  <w:style w:type="paragraph" w:customStyle="1" w:styleId="MarginEdition">
    <w:name w:val="Margin Edition"/>
    <w:basedOn w:val="MarginNote"/>
    <w:rsid w:val="00BE6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ABA"/>
    <w:rPr>
      <w:sz w:val="2"/>
      <w:szCs w:val="2"/>
    </w:rPr>
  </w:style>
  <w:style w:type="character" w:customStyle="1" w:styleId="Small">
    <w:name w:val="Small"/>
    <w:basedOn w:val="DefaultParagraphFont"/>
    <w:rsid w:val="00BE6ABA"/>
    <w:rPr>
      <w:sz w:val="16"/>
    </w:rPr>
  </w:style>
  <w:style w:type="paragraph" w:customStyle="1" w:styleId="WideTable">
    <w:name w:val="Wide Table"/>
    <w:basedOn w:val="Normal"/>
    <w:rsid w:val="00BE6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ABA"/>
  </w:style>
  <w:style w:type="paragraph" w:styleId="Quote">
    <w:name w:val="Quote"/>
    <w:basedOn w:val="Heading1"/>
    <w:link w:val="QuoteChar"/>
    <w:qFormat/>
    <w:rsid w:val="00BE6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ABA"/>
    <w:pPr>
      <w:pageBreakBefore/>
    </w:pPr>
  </w:style>
  <w:style w:type="paragraph" w:customStyle="1" w:styleId="Border">
    <w:name w:val="Border"/>
    <w:basedOn w:val="Normal"/>
    <w:qFormat/>
    <w:rsid w:val="00BE6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ABA"/>
    <w:rPr>
      <w:u w:val="single"/>
    </w:rPr>
  </w:style>
  <w:style w:type="character" w:customStyle="1" w:styleId="BoldandItalics">
    <w:name w:val="Bold and Italics"/>
    <w:qFormat/>
    <w:rsid w:val="00BE6ABA"/>
    <w:rPr>
      <w:b/>
      <w:i/>
      <w:u w:val="none"/>
    </w:rPr>
  </w:style>
  <w:style w:type="paragraph" w:styleId="BalloonText">
    <w:name w:val="Balloon Text"/>
    <w:basedOn w:val="Normal"/>
    <w:link w:val="BalloonTextChar"/>
    <w:rsid w:val="00BE6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ABA"/>
    <w:pPr>
      <w:spacing w:before="0" w:after="0"/>
    </w:pPr>
  </w:style>
  <w:style w:type="paragraph" w:customStyle="1" w:styleId="BodyTextBold">
    <w:name w:val="Body Text Bold"/>
    <w:basedOn w:val="BodyText"/>
    <w:qFormat/>
    <w:rsid w:val="00BE6ABA"/>
    <w:rPr>
      <w:b/>
    </w:rPr>
  </w:style>
  <w:style w:type="character" w:styleId="Hyperlink">
    <w:name w:val="Hyperlink"/>
    <w:basedOn w:val="DefaultParagraphFont"/>
    <w:uiPriority w:val="99"/>
    <w:unhideWhenUsed/>
    <w:rsid w:val="00817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2818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PMBPROD221E Operate rotational moulding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