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64C" w:rsidP="00907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PMBPROD210E Operate injection moulding equipment</w:t>
      </w:r>
      <w:r>
        <w:fldChar w:fldCharType="end"/>
      </w:r>
    </w:p>
    <w:p w:rsidR="0090764C" w:rsidP="0090764C">
      <w:pPr>
        <w:pStyle w:val="Version"/>
        <w:sectPr w:rsidSect="00461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367" w:rsidP="00461367">
      <w:pPr>
        <w:pStyle w:val="SuperHeading"/>
      </w:pPr>
      <w:r w:rsidRPr="00461367">
        <w:t>Assessment Requirements for PMBPROD210E Operate injection moulding equipment</w:t>
      </w:r>
    </w:p>
    <w:p w:rsidR="00000000" w:rsidRPr="00461367" w:rsidP="00461367">
      <w:pPr>
        <w:pStyle w:val="Heading1"/>
      </w:pPr>
      <w:bookmarkStart w:id="1" w:name="O_1114164"/>
      <w:bookmarkEnd w:id="1"/>
      <w:r w:rsidRPr="00461367">
        <w:t>Modification History</w:t>
      </w:r>
    </w:p>
    <w:p w:rsidR="00000000" w:rsidRPr="00461367" w:rsidP="0090764C">
      <w:pPr>
        <w:pStyle w:val="BodyText"/>
      </w:pPr>
      <w:r w:rsidRPr="00461367">
        <w:t>Release 1. Unit code changed. Application changed. Elements and Perf</w:t>
      </w:r>
      <w:r w:rsidRPr="00461367">
        <w:t>ormance Criteria changed. Range of Conditions removed. Assessment Requirements changed. Supersedes and is equivalent to PMBPROD210 Operate injection moulding equipment.</w:t>
      </w:r>
    </w:p>
    <w:p w:rsidR="00000000" w:rsidRPr="00461367" w:rsidP="00461367">
      <w:pPr>
        <w:pStyle w:val="Heading1"/>
      </w:pPr>
      <w:bookmarkStart w:id="2" w:name="O_1114165"/>
      <w:bookmarkEnd w:id="2"/>
      <w:r w:rsidRPr="00461367">
        <w:t>Performance Evidence</w:t>
      </w:r>
    </w:p>
    <w:p w:rsidR="00000000" w:rsidRPr="00461367" w:rsidP="0090764C">
      <w:pPr>
        <w:pStyle w:val="BodyText"/>
      </w:pPr>
      <w:r w:rsidRPr="00461367">
        <w:t>There must be evidence the candidate has comple</w:t>
      </w:r>
      <w:r w:rsidRPr="00461367">
        <w:t>ted the tasks outlined in the elements and performance criteria of this unit, and demonstrated the ability to:</w:t>
      </w:r>
    </w:p>
    <w:p w:rsidR="00000000" w:rsidRPr="00461367" w:rsidP="00461367">
      <w:pPr>
        <w:pStyle w:val="ListBullet"/>
      </w:pPr>
      <w:r w:rsidRPr="00461367">
        <w:t>operate injection moulding equipment at least once, including monitoring of equipment using measured or indicated data and senses as required to</w:t>
      </w:r>
      <w:r w:rsidRPr="00461367">
        <w:t xml:space="preserve"> meet work requirements.</w:t>
      </w:r>
    </w:p>
    <w:p w:rsidR="00000000" w:rsidRPr="00461367" w:rsidP="00461367">
      <w:pPr>
        <w:pStyle w:val="AllowPageBreak"/>
      </w:pPr>
    </w:p>
    <w:p w:rsidR="00000000" w:rsidRPr="00461367" w:rsidP="00461367">
      <w:pPr>
        <w:pStyle w:val="Heading1"/>
      </w:pPr>
      <w:bookmarkStart w:id="3" w:name="O_1114166"/>
      <w:bookmarkEnd w:id="3"/>
      <w:r w:rsidRPr="00461367">
        <w:t>Knowledge Evidence</w:t>
      </w:r>
    </w:p>
    <w:p w:rsidR="00000000" w:rsidRPr="00461367" w:rsidP="0090764C">
      <w:pPr>
        <w:pStyle w:val="BodyText"/>
      </w:pPr>
      <w:r w:rsidRPr="00461367">
        <w:t>There must be evidence the candidate has knowledge of:</w:t>
      </w:r>
    </w:p>
    <w:p w:rsidR="00000000" w:rsidRPr="00461367" w:rsidP="00461367">
      <w:pPr>
        <w:pStyle w:val="ListBullet"/>
      </w:pPr>
      <w:r w:rsidRPr="00461367">
        <w:t>the function of injection moulding equipment machine components and ancillary equipment, including:</w:t>
      </w:r>
    </w:p>
    <w:p w:rsidR="00000000" w:rsidRPr="00461367" w:rsidP="00461367">
      <w:pPr>
        <w:pStyle w:val="ListBullet2"/>
      </w:pPr>
      <w:r w:rsidRPr="00461367">
        <w:t>fixed frame</w:t>
      </w:r>
    </w:p>
    <w:p w:rsidR="00000000" w:rsidRPr="00461367" w:rsidP="00461367">
      <w:pPr>
        <w:pStyle w:val="ListBullet2"/>
      </w:pPr>
      <w:r w:rsidRPr="00461367">
        <w:t>injection unit</w:t>
      </w:r>
    </w:p>
    <w:p w:rsidR="00000000" w:rsidRPr="00461367" w:rsidP="00461367">
      <w:pPr>
        <w:pStyle w:val="ListBullet2"/>
      </w:pPr>
      <w:r w:rsidRPr="00461367">
        <w:t xml:space="preserve">clamping </w:t>
      </w:r>
      <w:r w:rsidRPr="00461367">
        <w:t>unit</w:t>
      </w:r>
    </w:p>
    <w:p w:rsidR="00000000" w:rsidRPr="00461367" w:rsidP="00461367">
      <w:pPr>
        <w:pStyle w:val="ListBullet2"/>
      </w:pPr>
      <w:r w:rsidRPr="00461367">
        <w:t>mould space</w:t>
      </w:r>
    </w:p>
    <w:p w:rsidR="00000000" w:rsidRPr="00461367" w:rsidP="00461367">
      <w:pPr>
        <w:pStyle w:val="ListBullet"/>
      </w:pPr>
      <w:r w:rsidRPr="00461367">
        <w:t>principles of operation of injection moulding equipment</w:t>
      </w:r>
    </w:p>
    <w:p w:rsidR="00000000" w:rsidRPr="00461367" w:rsidP="00461367">
      <w:pPr>
        <w:pStyle w:val="ListBullet"/>
      </w:pPr>
      <w:r w:rsidRPr="00461367">
        <w:t>types of injection moulding machines</w:t>
      </w:r>
    </w:p>
    <w:p w:rsidR="00000000" w:rsidRPr="00461367" w:rsidP="00461367">
      <w:pPr>
        <w:pStyle w:val="ListBullet"/>
      </w:pPr>
      <w:r w:rsidRPr="00461367">
        <w:t>safety interlocks and their function during machine operation</w:t>
      </w:r>
    </w:p>
    <w:p w:rsidR="00000000" w:rsidRPr="00461367" w:rsidP="00461367">
      <w:pPr>
        <w:pStyle w:val="ListBullet"/>
      </w:pPr>
      <w:r w:rsidRPr="00461367">
        <w:t>processing behaviour of polymers and the role of additives</w:t>
      </w:r>
    </w:p>
    <w:p w:rsidR="00000000" w:rsidRPr="00461367" w:rsidP="00461367">
      <w:pPr>
        <w:pStyle w:val="ListBullet"/>
      </w:pPr>
      <w:r w:rsidRPr="00461367">
        <w:t>the criteria for overall process/equipment readiness for the process and equipment being used</w:t>
      </w:r>
    </w:p>
    <w:p w:rsidR="00000000" w:rsidRPr="00461367" w:rsidP="00461367">
      <w:pPr>
        <w:pStyle w:val="ListBullet"/>
      </w:pPr>
      <w:r w:rsidRPr="00461367">
        <w:t>injection moulding production workflow sequences and materials demand</w:t>
      </w:r>
    </w:p>
    <w:p w:rsidR="00000000" w:rsidRPr="00461367" w:rsidP="00461367">
      <w:pPr>
        <w:pStyle w:val="ListBullet"/>
      </w:pPr>
      <w:r w:rsidRPr="00461367">
        <w:t>typical quality standards at each stage of production</w:t>
      </w:r>
    </w:p>
    <w:p w:rsidR="00000000" w:rsidRPr="00461367" w:rsidP="00461367">
      <w:pPr>
        <w:pStyle w:val="ListBullet"/>
      </w:pPr>
      <w:r w:rsidRPr="00461367">
        <w:t xml:space="preserve">key variables that may impact product </w:t>
      </w:r>
      <w:r w:rsidRPr="00461367">
        <w:t>quality and production output, including:</w:t>
      </w:r>
    </w:p>
    <w:p w:rsidR="00000000" w:rsidRPr="00461367" w:rsidP="00461367">
      <w:pPr>
        <w:pStyle w:val="ListBullet2"/>
      </w:pPr>
      <w:r w:rsidRPr="00461367">
        <w:t xml:space="preserve">machine conditions </w:t>
      </w:r>
    </w:p>
    <w:p w:rsidR="00000000" w:rsidRPr="00461367" w:rsidP="00461367">
      <w:pPr>
        <w:pStyle w:val="ListBullet2"/>
      </w:pPr>
      <w:r w:rsidRPr="00461367">
        <w:t>production rate, including cycle time, injection time and speed</w:t>
      </w:r>
    </w:p>
    <w:p w:rsidR="00000000" w:rsidRPr="00461367" w:rsidP="00461367">
      <w:pPr>
        <w:pStyle w:val="ListBullet"/>
      </w:pPr>
      <w:r w:rsidRPr="00461367">
        <w:t>typical process and product problems, including early warning signs, possible causes and corrective actions</w:t>
      </w:r>
    </w:p>
    <w:p w:rsidR="00000000" w:rsidRPr="00461367" w:rsidP="00461367">
      <w:pPr>
        <w:pStyle w:val="ListBullet"/>
      </w:pPr>
      <w:r w:rsidRPr="00461367">
        <w:t>organisational proce</w:t>
      </w:r>
      <w:r w:rsidRPr="00461367">
        <w:t>dures relevant to the work environment or job role, including procedures for the emergency shutdown of equipment</w:t>
      </w:r>
    </w:p>
    <w:p w:rsidR="00000000" w:rsidRPr="00461367" w:rsidP="00461367">
      <w:pPr>
        <w:pStyle w:val="ListBullet"/>
      </w:pPr>
      <w:r w:rsidRPr="00461367">
        <w:t>hazards that may arise in the job or work environment, and:</w:t>
      </w:r>
    </w:p>
    <w:p w:rsidR="00000000" w:rsidRPr="00461367" w:rsidP="00461367">
      <w:pPr>
        <w:pStyle w:val="ListBullet2"/>
      </w:pPr>
      <w:r w:rsidRPr="00461367">
        <w:t>their possible causes</w:t>
      </w:r>
    </w:p>
    <w:p w:rsidR="00000000" w:rsidRPr="00461367" w:rsidP="00461367">
      <w:pPr>
        <w:pStyle w:val="ListBullet2"/>
      </w:pPr>
      <w:r w:rsidRPr="00461367">
        <w:t>potential consequences</w:t>
      </w:r>
    </w:p>
    <w:p w:rsidR="00000000" w:rsidRPr="00461367" w:rsidP="00461367">
      <w:pPr>
        <w:pStyle w:val="ListBullet2"/>
      </w:pPr>
      <w:r w:rsidRPr="00461367">
        <w:t>appropriate risk controls.</w:t>
      </w:r>
    </w:p>
    <w:p w:rsidR="00000000" w:rsidRPr="00461367" w:rsidP="00461367">
      <w:pPr>
        <w:pStyle w:val="AllowPageBreak"/>
      </w:pPr>
    </w:p>
    <w:p w:rsidR="00000000" w:rsidRPr="00461367" w:rsidP="00461367">
      <w:pPr>
        <w:pStyle w:val="Heading1"/>
      </w:pPr>
      <w:bookmarkStart w:id="4" w:name="O_1114167"/>
      <w:bookmarkEnd w:id="4"/>
      <w:r w:rsidRPr="00461367">
        <w:t>Assessment Conditions</w:t>
      </w:r>
    </w:p>
    <w:p w:rsidR="00000000" w:rsidRPr="00461367" w:rsidP="0090764C">
      <w:pPr>
        <w:pStyle w:val="BodyText"/>
      </w:pPr>
      <w:r w:rsidRPr="00461367">
        <w:t xml:space="preserve">Skills must have been demonstrated in the workplace or in a simulated environment that reflects workplace conditions and contingencies. </w:t>
      </w:r>
    </w:p>
    <w:p w:rsidR="00000000" w:rsidRPr="00461367" w:rsidP="0090764C">
      <w:pPr>
        <w:pStyle w:val="BodyText"/>
      </w:pPr>
      <w:r w:rsidRPr="00461367">
        <w:t>Assessors must satisfy the NVR/AQTF mandatory competency requirements for assessors.</w:t>
      </w:r>
    </w:p>
    <w:p w:rsidR="00000000" w:rsidRPr="00461367" w:rsidP="00461367">
      <w:pPr>
        <w:pStyle w:val="Heading1"/>
      </w:pPr>
      <w:bookmarkStart w:id="5" w:name="O_1114170"/>
      <w:bookmarkEnd w:id="5"/>
      <w:r w:rsidRPr="00461367">
        <w:t>Links</w:t>
      </w:r>
    </w:p>
    <w:p w:rsidR="00000000" w:rsidRPr="00461367" w:rsidP="0090764C">
      <w:pPr>
        <w:pStyle w:val="BodyText"/>
      </w:pPr>
      <w:r w:rsidRPr="0046136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A420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61367" w:rsidP="00461367"/>
    <w:sectPr w:rsidSect="00461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67" w:rsidRPr="0090764C" w:rsidP="00907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4C" w:rsidP="00461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64C" w:rsidP="00461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764C" w:rsidP="00461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367" w:rsidRPr="0090764C" w:rsidP="00907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4C" w:rsidRPr="002D2AF8" w:rsidP="00461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PMBPROD210E Operate injection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0764C" w:rsidP="00461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65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21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563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367"/>
  </w:style>
  <w:style w:type="character" w:customStyle="1" w:styleId="Heading1Char">
    <w:name w:val="Heading 1 Char"/>
    <w:basedOn w:val="DefaultParagraphFont"/>
    <w:link w:val="Heading1"/>
    <w:rsid w:val="00461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13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1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367"/>
    <w:rPr>
      <w:b/>
      <w:spacing w:val="0"/>
    </w:rPr>
  </w:style>
  <w:style w:type="paragraph" w:customStyle="1" w:styleId="SuperTitle">
    <w:name w:val="SuperTitle"/>
    <w:basedOn w:val="Title"/>
    <w:rsid w:val="00461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367"/>
    <w:rPr>
      <w:i/>
    </w:rPr>
  </w:style>
  <w:style w:type="paragraph" w:styleId="Caption">
    <w:name w:val="caption"/>
    <w:basedOn w:val="BodyText"/>
    <w:next w:val="Normal"/>
    <w:qFormat/>
    <w:rsid w:val="00461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367"/>
  </w:style>
  <w:style w:type="paragraph" w:styleId="TableofFigures">
    <w:name w:val="table of figures"/>
    <w:basedOn w:val="Normal"/>
    <w:next w:val="Normal"/>
    <w:semiHidden/>
    <w:rsid w:val="00461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1367"/>
    <w:rPr>
      <w:rFonts w:ascii="Wingdings" w:hAnsi="Wingdings"/>
    </w:rPr>
  </w:style>
  <w:style w:type="paragraph" w:customStyle="1" w:styleId="TableHeading">
    <w:name w:val="Table Heading"/>
    <w:basedOn w:val="HeadingBase"/>
    <w:rsid w:val="00461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367"/>
    <w:rPr>
      <w:color w:val="0033CC"/>
      <w:u w:val="none"/>
    </w:rPr>
  </w:style>
  <w:style w:type="paragraph" w:customStyle="1" w:styleId="BodyTextRight">
    <w:name w:val="Body Text Right"/>
    <w:basedOn w:val="BodyText"/>
    <w:rsid w:val="00461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367"/>
    <w:rPr>
      <w:sz w:val="32"/>
    </w:rPr>
  </w:style>
  <w:style w:type="paragraph" w:customStyle="1" w:styleId="HeadingProcedure">
    <w:name w:val="Heading Procedure"/>
    <w:basedOn w:val="HeadingBase"/>
    <w:next w:val="Normal"/>
    <w:rsid w:val="00461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367"/>
    <w:pPr>
      <w:spacing w:before="60" w:after="60"/>
    </w:pPr>
  </w:style>
  <w:style w:type="paragraph" w:styleId="ListContinue">
    <w:name w:val="List Continue"/>
    <w:basedOn w:val="List"/>
    <w:rsid w:val="00461367"/>
    <w:pPr>
      <w:ind w:firstLine="0"/>
    </w:pPr>
  </w:style>
  <w:style w:type="paragraph" w:customStyle="1" w:styleId="ListNote">
    <w:name w:val="List Note"/>
    <w:basedOn w:val="List"/>
    <w:rsid w:val="00461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367"/>
    <w:rPr>
      <w:rFonts w:ascii="Courier New" w:hAnsi="Courier New"/>
    </w:rPr>
  </w:style>
  <w:style w:type="paragraph" w:customStyle="1" w:styleId="NoteBullet">
    <w:name w:val="Note Bullet"/>
    <w:basedOn w:val="Note"/>
    <w:rsid w:val="00461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1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367"/>
    <w:rPr>
      <w:b/>
      <w:smallCaps/>
    </w:rPr>
  </w:style>
  <w:style w:type="paragraph" w:customStyle="1" w:styleId="TableListNumber">
    <w:name w:val="Table List Number"/>
    <w:basedOn w:val="ListNumber"/>
    <w:rsid w:val="00461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367"/>
    <w:pPr>
      <w:numPr>
        <w:numId w:val="9"/>
      </w:numPr>
    </w:pPr>
  </w:style>
  <w:style w:type="paragraph" w:customStyle="1" w:styleId="ListAlpha2">
    <w:name w:val="List Alpha 2"/>
    <w:basedOn w:val="List2"/>
    <w:rsid w:val="00461367"/>
    <w:pPr>
      <w:numPr>
        <w:numId w:val="8"/>
      </w:numPr>
    </w:pPr>
  </w:style>
  <w:style w:type="paragraph" w:styleId="List2">
    <w:name w:val="List 2"/>
    <w:basedOn w:val="BodyText"/>
    <w:rsid w:val="00461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1367"/>
    <w:pPr>
      <w:numPr>
        <w:numId w:val="4"/>
      </w:numPr>
    </w:pPr>
  </w:style>
  <w:style w:type="paragraph" w:styleId="ListContinue2">
    <w:name w:val="List Continue 2"/>
    <w:basedOn w:val="List2"/>
    <w:rsid w:val="00461367"/>
    <w:pPr>
      <w:ind w:firstLine="0"/>
    </w:pPr>
  </w:style>
  <w:style w:type="paragraph" w:styleId="ListContinue3">
    <w:name w:val="List Continue 3"/>
    <w:basedOn w:val="List3"/>
    <w:rsid w:val="00461367"/>
    <w:pPr>
      <w:ind w:left="1021" w:firstLine="0"/>
    </w:pPr>
  </w:style>
  <w:style w:type="paragraph" w:styleId="ListContinue4">
    <w:name w:val="List Continue 4"/>
    <w:basedOn w:val="List4"/>
    <w:rsid w:val="00461367"/>
    <w:pPr>
      <w:ind w:firstLine="0"/>
    </w:pPr>
  </w:style>
  <w:style w:type="paragraph" w:styleId="ListContinue5">
    <w:name w:val="List Continue 5"/>
    <w:basedOn w:val="List5"/>
    <w:rsid w:val="00461367"/>
    <w:pPr>
      <w:ind w:firstLine="0"/>
    </w:pPr>
  </w:style>
  <w:style w:type="paragraph" w:styleId="ListNumber3">
    <w:name w:val="List Number 3"/>
    <w:basedOn w:val="List3"/>
    <w:rsid w:val="00461367"/>
    <w:pPr>
      <w:numPr>
        <w:numId w:val="5"/>
      </w:numPr>
    </w:pPr>
  </w:style>
  <w:style w:type="paragraph" w:styleId="ListNumber4">
    <w:name w:val="List Number 4"/>
    <w:basedOn w:val="List4"/>
    <w:rsid w:val="00461367"/>
    <w:pPr>
      <w:numPr>
        <w:numId w:val="6"/>
      </w:numPr>
    </w:pPr>
  </w:style>
  <w:style w:type="paragraph" w:styleId="ListNumber5">
    <w:name w:val="List Number 5"/>
    <w:basedOn w:val="List5"/>
    <w:rsid w:val="00461367"/>
    <w:pPr>
      <w:numPr>
        <w:numId w:val="7"/>
      </w:numPr>
    </w:pPr>
  </w:style>
  <w:style w:type="paragraph" w:styleId="BlockText">
    <w:name w:val="Block Text"/>
    <w:basedOn w:val="Normal"/>
    <w:rsid w:val="00461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367"/>
    <w:rPr>
      <w:sz w:val="16"/>
      <w:vertAlign w:val="superscript"/>
    </w:rPr>
  </w:style>
  <w:style w:type="character" w:customStyle="1" w:styleId="Symbols">
    <w:name w:val="Symbols"/>
    <w:basedOn w:val="DefaultParagraphFont"/>
    <w:rsid w:val="00461367"/>
    <w:rPr>
      <w:rFonts w:ascii="Symbol" w:hAnsi="Symbol"/>
    </w:rPr>
  </w:style>
  <w:style w:type="character" w:customStyle="1" w:styleId="MenuOptions">
    <w:name w:val="Menu Options"/>
    <w:basedOn w:val="DefaultParagraphFont"/>
    <w:rsid w:val="00461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367"/>
    <w:rPr>
      <w:b/>
    </w:rPr>
  </w:style>
  <w:style w:type="character" w:customStyle="1" w:styleId="Underlined">
    <w:name w:val="Underlined"/>
    <w:basedOn w:val="DefaultParagraphFont"/>
    <w:rsid w:val="00461367"/>
    <w:rPr>
      <w:u w:val="single"/>
    </w:rPr>
  </w:style>
  <w:style w:type="paragraph" w:customStyle="1" w:styleId="TableBodyTextRight">
    <w:name w:val="Table Body Text Right"/>
    <w:basedOn w:val="TableBodyText"/>
    <w:rsid w:val="00461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367"/>
    <w:rPr>
      <w:sz w:val="18"/>
    </w:rPr>
  </w:style>
  <w:style w:type="paragraph" w:customStyle="1" w:styleId="BodySmallRight">
    <w:name w:val="Body Small Right"/>
    <w:basedOn w:val="BodyTextRight"/>
    <w:rsid w:val="00461367"/>
    <w:rPr>
      <w:sz w:val="18"/>
      <w:szCs w:val="18"/>
    </w:rPr>
  </w:style>
  <w:style w:type="paragraph" w:customStyle="1" w:styleId="MarginEdition">
    <w:name w:val="Margin Edition"/>
    <w:basedOn w:val="MarginNote"/>
    <w:rsid w:val="00461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367"/>
    <w:rPr>
      <w:sz w:val="2"/>
      <w:szCs w:val="2"/>
    </w:rPr>
  </w:style>
  <w:style w:type="character" w:customStyle="1" w:styleId="Small">
    <w:name w:val="Small"/>
    <w:basedOn w:val="DefaultParagraphFont"/>
    <w:rsid w:val="00461367"/>
    <w:rPr>
      <w:sz w:val="16"/>
    </w:rPr>
  </w:style>
  <w:style w:type="paragraph" w:customStyle="1" w:styleId="WideTable">
    <w:name w:val="Wide Table"/>
    <w:basedOn w:val="Normal"/>
    <w:rsid w:val="00461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367"/>
  </w:style>
  <w:style w:type="paragraph" w:styleId="Quote">
    <w:name w:val="Quote"/>
    <w:basedOn w:val="Heading1"/>
    <w:link w:val="QuoteChar"/>
    <w:qFormat/>
    <w:rsid w:val="00461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367"/>
    <w:pPr>
      <w:pageBreakBefore/>
    </w:pPr>
  </w:style>
  <w:style w:type="paragraph" w:customStyle="1" w:styleId="Border">
    <w:name w:val="Border"/>
    <w:basedOn w:val="Normal"/>
    <w:qFormat/>
    <w:rsid w:val="00461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367"/>
    <w:rPr>
      <w:u w:val="single"/>
    </w:rPr>
  </w:style>
  <w:style w:type="character" w:customStyle="1" w:styleId="BoldandItalics">
    <w:name w:val="Bold and Italics"/>
    <w:qFormat/>
    <w:rsid w:val="00461367"/>
    <w:rPr>
      <w:b/>
      <w:i/>
      <w:u w:val="none"/>
    </w:rPr>
  </w:style>
  <w:style w:type="paragraph" w:styleId="BalloonText">
    <w:name w:val="Balloon Text"/>
    <w:basedOn w:val="Normal"/>
    <w:link w:val="BalloonTextChar"/>
    <w:rsid w:val="00461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367"/>
    <w:pPr>
      <w:spacing w:before="0" w:after="0"/>
    </w:pPr>
  </w:style>
  <w:style w:type="paragraph" w:customStyle="1" w:styleId="BodyTextBold">
    <w:name w:val="Body Text Bold"/>
    <w:basedOn w:val="BodyText"/>
    <w:qFormat/>
    <w:rsid w:val="00461367"/>
    <w:rPr>
      <w:b/>
    </w:rPr>
  </w:style>
  <w:style w:type="character" w:styleId="Hyperlink">
    <w:name w:val="Hyperlink"/>
    <w:basedOn w:val="DefaultParagraphFont"/>
    <w:uiPriority w:val="99"/>
    <w:unhideWhenUsed/>
    <w:rsid w:val="00907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2215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PMBPROD210E Operate injection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