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AA1" w:rsidP="00023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PMBPROD206E Operate ancillary equipment</w:t>
      </w:r>
      <w:r>
        <w:fldChar w:fldCharType="end"/>
      </w:r>
    </w:p>
    <w:p w:rsidR="00023AA1" w:rsidP="00023AA1">
      <w:pPr>
        <w:pStyle w:val="Version"/>
        <w:sectPr w:rsidSect="00D10E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EB2" w:rsidP="00D10EB2">
      <w:pPr>
        <w:pStyle w:val="SuperHeading"/>
      </w:pPr>
      <w:r w:rsidRPr="00D10EB2">
        <w:t>PMBPROD206E Operate ancillary equipment</w:t>
      </w:r>
    </w:p>
    <w:p w:rsidR="00000000" w:rsidRPr="00D10EB2" w:rsidP="00D10EB2">
      <w:pPr>
        <w:pStyle w:val="Heading1"/>
      </w:pPr>
      <w:bookmarkStart w:id="1" w:name="O_1114097"/>
      <w:bookmarkEnd w:id="1"/>
      <w:r w:rsidRPr="00D10EB2">
        <w:t>Modification History</w:t>
      </w:r>
    </w:p>
    <w:p w:rsidR="00000000" w:rsidRPr="00D10EB2" w:rsidP="00023AA1">
      <w:pPr>
        <w:pStyle w:val="BodyText"/>
      </w:pPr>
      <w:r w:rsidRPr="00D10EB2">
        <w:t>Release 1. Unit code changed. Application changed. Elements and Performance Criteria changed. Range of Conditions removed. Assessment Requirements changed. Supersedes and is equivalent to PMBPROD206 Operate ancillary equipment.</w:t>
      </w:r>
    </w:p>
    <w:p w:rsidR="00000000" w:rsidRPr="00D10EB2" w:rsidP="00D10EB2">
      <w:pPr>
        <w:pStyle w:val="Heading1"/>
      </w:pPr>
      <w:bookmarkStart w:id="2" w:name="O_1114098"/>
      <w:bookmarkEnd w:id="2"/>
      <w:r w:rsidRPr="00D10EB2">
        <w:t>Application</w:t>
      </w:r>
    </w:p>
    <w:p w:rsidR="00000000" w:rsidRPr="00D10EB2" w:rsidP="00023AA1">
      <w:pPr>
        <w:pStyle w:val="BodyText"/>
      </w:pPr>
      <w:r w:rsidRPr="00D10EB2">
        <w:t xml:space="preserve">This unit describes the skills and knowledge required to operate essential ancillary equipment that supports production operations, and is operated separately from the main production equipment. </w:t>
      </w:r>
    </w:p>
    <w:p w:rsidR="00000000" w:rsidRPr="00D10EB2" w:rsidP="00023AA1">
      <w:pPr>
        <w:pStyle w:val="Heading3"/>
      </w:pPr>
      <w:r w:rsidRPr="00D10EB2">
        <w:t>This unit applies to an individual w</w:t>
      </w:r>
      <w:r w:rsidRPr="00D10EB2">
        <w:t>orking alone or as part of a team</w:t>
      </w:r>
    </w:p>
    <w:p w:rsidR="00000000" w:rsidRPr="00D10EB2" w:rsidP="00023AA1">
      <w:pPr>
        <w:pStyle w:val="BodyText"/>
      </w:pPr>
      <w:r w:rsidRPr="00D10EB2">
        <w:t>The unit principally refers to essential ancillary units required to support the main operational functions, but often have a need for specialised skills and knowledge to ensure overall efficiency and reliability.</w:t>
      </w:r>
    </w:p>
    <w:p w:rsidR="00000000" w:rsidRPr="00D10EB2" w:rsidP="00023AA1">
      <w:pPr>
        <w:pStyle w:val="BodyText"/>
      </w:pPr>
      <w:r w:rsidRPr="00D10EB2">
        <w:t>No licen</w:t>
      </w:r>
      <w:r w:rsidRPr="00D10EB2">
        <w:t>sing or certification requirements apply to this unit of competency at the time of publication. Relevant legislation, industry standards and codes of practice within Australia must be applied.</w:t>
      </w:r>
    </w:p>
    <w:p w:rsidR="00000000" w:rsidRPr="00D10EB2" w:rsidP="00D10EB2">
      <w:pPr>
        <w:pStyle w:val="Heading1"/>
      </w:pPr>
      <w:bookmarkStart w:id="3" w:name="O_1114099"/>
      <w:bookmarkEnd w:id="3"/>
      <w:r w:rsidRPr="00D10EB2">
        <w:t>Pre-requisite Unit</w:t>
      </w:r>
    </w:p>
    <w:p w:rsidR="00000000" w:rsidRPr="00D10EB2" w:rsidP="00023AA1">
      <w:pPr>
        <w:pStyle w:val="BodyText"/>
      </w:pPr>
      <w:r w:rsidRPr="00D10EB2">
        <w:t>Nil</w:t>
      </w:r>
    </w:p>
    <w:p w:rsidR="00000000" w:rsidRPr="00D10EB2" w:rsidP="00D10EB2">
      <w:pPr>
        <w:pStyle w:val="Heading1"/>
      </w:pPr>
      <w:bookmarkStart w:id="4" w:name="O_1114100"/>
      <w:bookmarkEnd w:id="4"/>
      <w:r w:rsidRPr="00D10EB2">
        <w:t>Co</w:t>
      </w:r>
      <w:r w:rsidRPr="00D10EB2">
        <w:t>mpetency Field</w:t>
      </w:r>
    </w:p>
    <w:p w:rsidR="00000000" w:rsidRPr="00D10EB2" w:rsidP="00023AA1">
      <w:pPr>
        <w:pStyle w:val="BodyText"/>
      </w:pPr>
      <w:r w:rsidRPr="00D10EB2">
        <w:t>Production – Generic</w:t>
      </w:r>
    </w:p>
    <w:p w:rsidR="00000000" w:rsidRPr="00D10EB2" w:rsidP="00D10EB2">
      <w:pPr>
        <w:pStyle w:val="Heading1"/>
      </w:pPr>
      <w:bookmarkStart w:id="5" w:name="O_1114102"/>
      <w:bookmarkEnd w:id="5"/>
      <w:r w:rsidRPr="00D10EB2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D10EB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EB2" w:rsidP="00D10EB2">
            <w:pPr>
              <w:pStyle w:val="BodyText"/>
            </w:pPr>
            <w:r w:rsidRPr="00D10EB2">
              <w:rPr>
                <w:rStyle w:val="SpecialBold"/>
              </w:rPr>
              <w:t>Elements</w:t>
            </w:r>
          </w:p>
          <w:p w:rsidR="00000000" w:rsidRPr="00D10EB2" w:rsidP="00D10EB2">
            <w:pPr>
              <w:pStyle w:val="BodyText"/>
            </w:pPr>
            <w:r w:rsidRPr="00D10EB2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EB2" w:rsidP="00D10EB2">
            <w:pPr>
              <w:pStyle w:val="BodyText"/>
            </w:pPr>
            <w:r w:rsidRPr="00D10EB2">
              <w:rPr>
                <w:rStyle w:val="SpecialBold"/>
              </w:rPr>
              <w:t>Performance Criteria</w:t>
            </w:r>
          </w:p>
          <w:p w:rsidR="00000000" w:rsidP="00D10EB2">
            <w:pPr>
              <w:pStyle w:val="BodyText"/>
              <w:rPr>
                <w:lang w:val="en-NZ"/>
              </w:rPr>
            </w:pPr>
            <w:r w:rsidRPr="00D10EB2">
              <w:t>Performance criteria describe the performance needed to demonstrate achievement of the element.</w:t>
            </w:r>
          </w:p>
        </w:tc>
      </w:tr>
      <w:tr w:rsidTr="00D10EB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B2">
            <w:pPr>
              <w:pStyle w:val="BodyText"/>
              <w:rPr>
                <w:lang w:val="en-NZ"/>
              </w:rPr>
            </w:pPr>
            <w:r w:rsidRPr="00D10EB2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EB2" w:rsidP="00D10EB2">
            <w:pPr>
              <w:pStyle w:val="BodyText"/>
            </w:pPr>
            <w:r w:rsidRPr="00D10EB2">
              <w:t>1.1 Identify equipment requirements from job specifications</w:t>
            </w:r>
          </w:p>
          <w:p w:rsidR="00000000" w:rsidRPr="00D10EB2" w:rsidP="00D10EB2">
            <w:pPr>
              <w:pStyle w:val="BodyText"/>
            </w:pPr>
            <w:r w:rsidRPr="00D10EB2">
              <w:t>1.2 Perform housekeeping tasks to prepare for work to be undertaken</w:t>
            </w:r>
          </w:p>
          <w:p w:rsidR="00000000" w:rsidP="00D10EB2">
            <w:pPr>
              <w:pStyle w:val="BodyText"/>
              <w:rPr>
                <w:lang w:val="en-NZ"/>
              </w:rPr>
            </w:pPr>
            <w:r w:rsidRPr="00D10EB2">
              <w:t xml:space="preserve">1.3 Perform pre-operational checks including checking for and acting on hazards </w:t>
            </w:r>
          </w:p>
        </w:tc>
      </w:tr>
      <w:tr w:rsidTr="00D10EB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B2">
            <w:pPr>
              <w:pStyle w:val="BodyText"/>
              <w:rPr>
                <w:lang w:val="en-NZ"/>
              </w:rPr>
            </w:pPr>
            <w:r w:rsidRPr="00D10EB2">
              <w:t xml:space="preserve">2. Start up and shutdown </w:t>
            </w:r>
            <w:r w:rsidRPr="00D10EB2">
              <w:t>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EB2" w:rsidP="00D10EB2">
            <w:pPr>
              <w:pStyle w:val="BodyText"/>
            </w:pPr>
            <w:r w:rsidRPr="00D10EB2">
              <w:t xml:space="preserve">2.1 Conduct pre-startup checks according to equipment specifications </w:t>
            </w:r>
            <w:r w:rsidRPr="00D10EB2">
              <w:t>and procedures</w:t>
            </w:r>
          </w:p>
          <w:p w:rsidR="00000000" w:rsidP="00D10EB2">
            <w:pPr>
              <w:pStyle w:val="BodyText"/>
              <w:rPr>
                <w:lang w:val="en-NZ"/>
              </w:rPr>
            </w:pPr>
            <w:r w:rsidRPr="00D10EB2">
              <w:t>2.2 Start up and shutdown each machine safely according to equipment instructions</w:t>
            </w:r>
          </w:p>
        </w:tc>
      </w:tr>
      <w:tr w:rsidTr="00D10EB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B2">
            <w:pPr>
              <w:pStyle w:val="BodyText"/>
              <w:rPr>
                <w:lang w:val="en-NZ"/>
              </w:rPr>
            </w:pPr>
            <w:r w:rsidRPr="00D10EB2">
              <w:t>3. Operate ancillary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EB2" w:rsidP="00D10EB2">
            <w:pPr>
              <w:pStyle w:val="BodyText"/>
            </w:pPr>
            <w:r w:rsidRPr="00D10EB2">
              <w:t>3.1 Check process is op</w:t>
            </w:r>
            <w:r w:rsidRPr="00D10EB2">
              <w:t xml:space="preserve">erating according to equipment specifications and work requirements </w:t>
            </w:r>
          </w:p>
          <w:p w:rsidR="00000000" w:rsidRPr="00D10EB2" w:rsidP="00D10EB2">
            <w:pPr>
              <w:pStyle w:val="BodyText"/>
            </w:pPr>
            <w:r w:rsidRPr="00D10EB2">
              <w:t>3.2 Accurately complete logs and records</w:t>
            </w:r>
          </w:p>
          <w:p w:rsidR="00000000" w:rsidRPr="00D10EB2" w:rsidP="00D10EB2">
            <w:pPr>
              <w:pStyle w:val="BodyText"/>
            </w:pPr>
            <w:r w:rsidRPr="00D10EB2">
              <w:t>3.3 Pause or shut down units of equipment in normal and abnormal circumstances and make ready for next operation</w:t>
            </w:r>
          </w:p>
          <w:p w:rsidR="00000000" w:rsidP="00D10EB2">
            <w:pPr>
              <w:pStyle w:val="BodyText"/>
              <w:rPr>
                <w:lang w:val="en-NZ"/>
              </w:rPr>
            </w:pPr>
            <w:r w:rsidRPr="00D10EB2">
              <w:t>3.4 Clean equipment and work area</w:t>
            </w:r>
            <w:r w:rsidRPr="00D10EB2">
              <w:t xml:space="preserve"> according to equipment specifications and workplace procedures</w:t>
            </w:r>
          </w:p>
        </w:tc>
      </w:tr>
      <w:tr w:rsidTr="00D10EB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B2">
            <w:pPr>
              <w:pStyle w:val="BodyText"/>
              <w:rPr>
                <w:lang w:val="en-NZ"/>
              </w:rPr>
            </w:pPr>
            <w:r w:rsidRPr="00D10EB2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EB2" w:rsidP="00D10EB2">
            <w:pPr>
              <w:pStyle w:val="BodyText"/>
            </w:pPr>
            <w:r w:rsidRPr="00D10EB2">
              <w:t>4.1 Recognise and log process control variances and their causes</w:t>
            </w:r>
          </w:p>
          <w:p w:rsidR="00000000" w:rsidRPr="00D10EB2" w:rsidP="00D10EB2">
            <w:pPr>
              <w:pStyle w:val="BodyText"/>
            </w:pPr>
            <w:r w:rsidRPr="00D10EB2">
              <w:t>4.2 Determine, prioritise and implement remedial and preventative actions based on ide</w:t>
            </w:r>
            <w:r w:rsidRPr="00D10EB2">
              <w:t>ntified issues and causes</w:t>
            </w:r>
          </w:p>
          <w:p w:rsidR="00000000" w:rsidRPr="00D10EB2" w:rsidP="00D10EB2">
            <w:pPr>
              <w:pStyle w:val="BodyText"/>
            </w:pPr>
            <w:r w:rsidRPr="00D10EB2">
              <w:t xml:space="preserve">4.3 Accurately maintain records and logbooks </w:t>
            </w:r>
          </w:p>
        </w:tc>
      </w:tr>
    </w:tbl>
    <w:p w:rsidR="00000000" w:rsidRPr="00D10EB2" w:rsidP="00D10EB2">
      <w:pPr>
        <w:pStyle w:val="BodyText"/>
      </w:pPr>
    </w:p>
    <w:p w:rsidR="00000000" w:rsidRPr="00D10EB2" w:rsidP="00D10EB2">
      <w:pPr>
        <w:pStyle w:val="AllowPageBreak"/>
      </w:pPr>
    </w:p>
    <w:p w:rsidR="00000000" w:rsidRPr="00D10EB2" w:rsidP="00D10EB2">
      <w:pPr>
        <w:pStyle w:val="Heading1"/>
      </w:pPr>
      <w:bookmarkStart w:id="6" w:name="O_1114103"/>
      <w:bookmarkEnd w:id="6"/>
      <w:r w:rsidRPr="00D10EB2">
        <w:t>Foundation Skills</w:t>
      </w:r>
    </w:p>
    <w:p w:rsidR="00000000" w:rsidRPr="00D10EB2" w:rsidP="00023AA1">
      <w:pPr>
        <w:pStyle w:val="BodyText"/>
      </w:pPr>
      <w:r w:rsidRPr="00D10EB2">
        <w:t xml:space="preserve">This section describes those language, literacy, numeracy and employment skills that are essential to performance. </w:t>
      </w:r>
    </w:p>
    <w:p w:rsidR="00000000" w:rsidRPr="00D10EB2" w:rsidP="00D10EB2">
      <w:pPr>
        <w:pStyle w:val="ListBullet"/>
      </w:pPr>
      <w:r w:rsidRPr="00D10EB2">
        <w:t>Numeracy skills to interpret technical specifications and equipment readings.</w:t>
      </w:r>
    </w:p>
    <w:p w:rsidR="00000000" w:rsidRPr="00D10EB2" w:rsidP="00D10EB2">
      <w:pPr>
        <w:pStyle w:val="ListBullet"/>
      </w:pPr>
      <w:r w:rsidRPr="00D10EB2">
        <w:t>Reading skills to interpret specifications and workplace procedures.</w:t>
      </w:r>
    </w:p>
    <w:p w:rsidR="00000000" w:rsidRPr="00D10EB2" w:rsidP="00D10EB2">
      <w:pPr>
        <w:pStyle w:val="ListBullet"/>
      </w:pPr>
      <w:r w:rsidRPr="00D10EB2">
        <w:t>Writing and oral communication skills to record and report on ancillary equipment operation and process contr</w:t>
      </w:r>
      <w:r w:rsidRPr="00D10EB2">
        <w:t>ol variances.</w:t>
      </w:r>
    </w:p>
    <w:p w:rsidR="00000000" w:rsidRPr="00023AA1" w:rsidP="00023AA1">
      <w:pPr>
        <w:pStyle w:val="BodyText"/>
        <w:rPr>
          <w:i/>
        </w:rPr>
      </w:pPr>
      <w:r w:rsidRPr="00023AA1">
        <w:rPr>
          <w:rStyle w:val="Emphasis"/>
        </w:rPr>
        <w:t>Other foundation skills essential to performance are explicit in the performance criteria of this unit of competency.</w:t>
      </w:r>
    </w:p>
    <w:p w:rsidR="00000000" w:rsidRPr="00D10EB2" w:rsidP="00D10EB2">
      <w:pPr>
        <w:pStyle w:val="Heading1"/>
      </w:pPr>
      <w:bookmarkStart w:id="7" w:name="O_1114105"/>
      <w:bookmarkEnd w:id="7"/>
      <w:r w:rsidRPr="00D10EB2">
        <w:t>Unit Mapping Information</w:t>
      </w:r>
    </w:p>
    <w:p w:rsidR="00000000" w:rsidRPr="00D10EB2" w:rsidP="00023AA1">
      <w:pPr>
        <w:pStyle w:val="BodyText"/>
      </w:pPr>
      <w:r w:rsidRPr="00D10EB2">
        <w:t>Supersedes and is equivalent to PMBPROD206 Operate ancillary equipment.</w:t>
      </w:r>
    </w:p>
    <w:p w:rsidR="00000000" w:rsidRPr="00D10EB2" w:rsidP="00D10EB2">
      <w:pPr>
        <w:pStyle w:val="Heading1"/>
      </w:pPr>
      <w:bookmarkStart w:id="8" w:name="O_1114112"/>
      <w:bookmarkEnd w:id="8"/>
      <w:r w:rsidRPr="00D10EB2">
        <w:t>Links</w:t>
      </w:r>
    </w:p>
    <w:p w:rsidR="00000000" w:rsidRPr="00D10EB2" w:rsidP="00023AA1">
      <w:pPr>
        <w:pStyle w:val="BodyText"/>
      </w:pPr>
      <w:r w:rsidRPr="00D10EB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D4C6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10EB2" w:rsidP="00D10EB2"/>
    <w:sectPr w:rsidSect="00D10E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B2" w:rsidRPr="00023AA1" w:rsidP="00023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A1" w:rsidP="00D10E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3AA1" w:rsidP="00D10E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3AA1" w:rsidP="00D10E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EB2" w:rsidRPr="00023AA1" w:rsidP="00023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A1" w:rsidRPr="002D2AF8" w:rsidP="00D10E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PMBPROD206E Operate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023AA1" w:rsidP="00D10E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D48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CC6A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E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E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E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E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E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E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E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E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E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E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E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EB2"/>
  </w:style>
  <w:style w:type="character" w:customStyle="1" w:styleId="Heading1Char">
    <w:name w:val="Heading 1 Char"/>
    <w:basedOn w:val="DefaultParagraphFont"/>
    <w:link w:val="Heading1"/>
    <w:rsid w:val="00D10E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E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E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E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0EB2"/>
    <w:rPr>
      <w:b/>
      <w:spacing w:val="0"/>
    </w:rPr>
  </w:style>
  <w:style w:type="character" w:styleId="Emphasis">
    <w:name w:val="Emphasis"/>
    <w:basedOn w:val="DefaultParagraphFont"/>
    <w:qFormat/>
    <w:rsid w:val="00D10EB2"/>
    <w:rPr>
      <w:i/>
    </w:rPr>
  </w:style>
  <w:style w:type="paragraph" w:customStyle="1" w:styleId="SuperHeading">
    <w:name w:val="SuperHeading"/>
    <w:basedOn w:val="Normal"/>
    <w:rsid w:val="00D10E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E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E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E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E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E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E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E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E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E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E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E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E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E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E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E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E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E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E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E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E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E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E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E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E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E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E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E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E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E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E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0E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E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E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EB2"/>
  </w:style>
  <w:style w:type="paragraph" w:styleId="TableofFigures">
    <w:name w:val="table of figures"/>
    <w:basedOn w:val="Normal"/>
    <w:next w:val="Normal"/>
    <w:semiHidden/>
    <w:rsid w:val="00D10E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E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0EB2"/>
    <w:rPr>
      <w:rFonts w:ascii="Wingdings" w:hAnsi="Wingdings"/>
    </w:rPr>
  </w:style>
  <w:style w:type="paragraph" w:customStyle="1" w:styleId="TableHeading">
    <w:name w:val="Table Heading"/>
    <w:basedOn w:val="HeadingBase"/>
    <w:rsid w:val="00D10E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EB2"/>
    <w:rPr>
      <w:color w:val="0033CC"/>
      <w:u w:val="none"/>
    </w:rPr>
  </w:style>
  <w:style w:type="paragraph" w:customStyle="1" w:styleId="BodyTextRight">
    <w:name w:val="Body Text Right"/>
    <w:basedOn w:val="BodyText"/>
    <w:rsid w:val="00D10E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E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E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E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E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E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EB2"/>
    <w:rPr>
      <w:sz w:val="32"/>
    </w:rPr>
  </w:style>
  <w:style w:type="paragraph" w:customStyle="1" w:styleId="HeadingProcedure">
    <w:name w:val="Heading Procedure"/>
    <w:basedOn w:val="HeadingBase"/>
    <w:next w:val="Normal"/>
    <w:rsid w:val="00D10E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EB2"/>
    <w:pPr>
      <w:spacing w:before="60" w:after="60"/>
    </w:pPr>
  </w:style>
  <w:style w:type="paragraph" w:styleId="ListContinue">
    <w:name w:val="List Continue"/>
    <w:basedOn w:val="List"/>
    <w:rsid w:val="00D10EB2"/>
    <w:pPr>
      <w:ind w:firstLine="0"/>
    </w:pPr>
  </w:style>
  <w:style w:type="paragraph" w:customStyle="1" w:styleId="ListNote">
    <w:name w:val="List Note"/>
    <w:basedOn w:val="List"/>
    <w:rsid w:val="00D10E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E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E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EB2"/>
    <w:rPr>
      <w:rFonts w:ascii="Courier New" w:hAnsi="Courier New"/>
    </w:rPr>
  </w:style>
  <w:style w:type="paragraph" w:customStyle="1" w:styleId="NoteBullet">
    <w:name w:val="Note Bullet"/>
    <w:basedOn w:val="Note"/>
    <w:rsid w:val="00D10E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E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E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E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E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E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E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EB2"/>
    <w:rPr>
      <w:b/>
      <w:smallCaps/>
    </w:rPr>
  </w:style>
  <w:style w:type="paragraph" w:customStyle="1" w:styleId="TableListNumber">
    <w:name w:val="Table List Number"/>
    <w:basedOn w:val="ListNumber"/>
    <w:rsid w:val="00D10E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E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EB2"/>
    <w:pPr>
      <w:numPr>
        <w:numId w:val="8"/>
      </w:numPr>
    </w:pPr>
  </w:style>
  <w:style w:type="paragraph" w:customStyle="1" w:styleId="ListAlpha2">
    <w:name w:val="List Alpha 2"/>
    <w:basedOn w:val="List2"/>
    <w:rsid w:val="00D10EB2"/>
    <w:pPr>
      <w:numPr>
        <w:numId w:val="7"/>
      </w:numPr>
    </w:pPr>
  </w:style>
  <w:style w:type="paragraph" w:styleId="List2">
    <w:name w:val="List 2"/>
    <w:basedOn w:val="BodyText"/>
    <w:rsid w:val="00D10E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E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E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E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E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E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0EB2"/>
    <w:pPr>
      <w:numPr>
        <w:numId w:val="3"/>
      </w:numPr>
    </w:pPr>
  </w:style>
  <w:style w:type="paragraph" w:styleId="ListContinue2">
    <w:name w:val="List Continue 2"/>
    <w:basedOn w:val="List2"/>
    <w:rsid w:val="00D10EB2"/>
    <w:pPr>
      <w:ind w:firstLine="0"/>
    </w:pPr>
  </w:style>
  <w:style w:type="paragraph" w:styleId="ListContinue3">
    <w:name w:val="List Continue 3"/>
    <w:basedOn w:val="List3"/>
    <w:rsid w:val="00D10EB2"/>
    <w:pPr>
      <w:ind w:left="1021" w:firstLine="0"/>
    </w:pPr>
  </w:style>
  <w:style w:type="paragraph" w:styleId="ListContinue4">
    <w:name w:val="List Continue 4"/>
    <w:basedOn w:val="List4"/>
    <w:rsid w:val="00D10EB2"/>
    <w:pPr>
      <w:ind w:firstLine="0"/>
    </w:pPr>
  </w:style>
  <w:style w:type="paragraph" w:styleId="ListContinue5">
    <w:name w:val="List Continue 5"/>
    <w:basedOn w:val="List5"/>
    <w:rsid w:val="00D10EB2"/>
    <w:pPr>
      <w:ind w:firstLine="0"/>
    </w:pPr>
  </w:style>
  <w:style w:type="paragraph" w:styleId="ListNumber3">
    <w:name w:val="List Number 3"/>
    <w:basedOn w:val="List3"/>
    <w:rsid w:val="00D10EB2"/>
    <w:pPr>
      <w:numPr>
        <w:numId w:val="4"/>
      </w:numPr>
    </w:pPr>
  </w:style>
  <w:style w:type="paragraph" w:styleId="ListNumber4">
    <w:name w:val="List Number 4"/>
    <w:basedOn w:val="List4"/>
    <w:rsid w:val="00D10EB2"/>
    <w:pPr>
      <w:numPr>
        <w:numId w:val="5"/>
      </w:numPr>
    </w:pPr>
  </w:style>
  <w:style w:type="paragraph" w:styleId="ListNumber5">
    <w:name w:val="List Number 5"/>
    <w:basedOn w:val="List5"/>
    <w:rsid w:val="00D10EB2"/>
    <w:pPr>
      <w:numPr>
        <w:numId w:val="6"/>
      </w:numPr>
    </w:pPr>
  </w:style>
  <w:style w:type="paragraph" w:styleId="BlockText">
    <w:name w:val="Block Text"/>
    <w:basedOn w:val="Normal"/>
    <w:rsid w:val="00D10E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E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EB2"/>
    <w:rPr>
      <w:sz w:val="16"/>
      <w:vertAlign w:val="superscript"/>
    </w:rPr>
  </w:style>
  <w:style w:type="character" w:customStyle="1" w:styleId="Symbols">
    <w:name w:val="Symbols"/>
    <w:basedOn w:val="DefaultParagraphFont"/>
    <w:rsid w:val="00D10EB2"/>
    <w:rPr>
      <w:rFonts w:ascii="Symbol" w:hAnsi="Symbol"/>
    </w:rPr>
  </w:style>
  <w:style w:type="character" w:customStyle="1" w:styleId="MenuOptions">
    <w:name w:val="Menu Options"/>
    <w:basedOn w:val="DefaultParagraphFont"/>
    <w:rsid w:val="00D10E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EB2"/>
    <w:rPr>
      <w:b/>
    </w:rPr>
  </w:style>
  <w:style w:type="character" w:customStyle="1" w:styleId="Underlined">
    <w:name w:val="Underlined"/>
    <w:basedOn w:val="DefaultParagraphFont"/>
    <w:rsid w:val="00D10EB2"/>
    <w:rPr>
      <w:u w:val="single"/>
    </w:rPr>
  </w:style>
  <w:style w:type="paragraph" w:customStyle="1" w:styleId="TableBodyTextRight">
    <w:name w:val="Table Body Text Right"/>
    <w:basedOn w:val="TableBodyText"/>
    <w:rsid w:val="00D10E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EB2"/>
    <w:rPr>
      <w:sz w:val="18"/>
    </w:rPr>
  </w:style>
  <w:style w:type="paragraph" w:customStyle="1" w:styleId="BodySmallRight">
    <w:name w:val="Body Small Right"/>
    <w:basedOn w:val="BodyTextRight"/>
    <w:rsid w:val="00D10EB2"/>
    <w:rPr>
      <w:sz w:val="18"/>
      <w:szCs w:val="18"/>
    </w:rPr>
  </w:style>
  <w:style w:type="paragraph" w:customStyle="1" w:styleId="MarginEdition">
    <w:name w:val="Margin Edition"/>
    <w:basedOn w:val="MarginNote"/>
    <w:rsid w:val="00D10E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EB2"/>
    <w:rPr>
      <w:sz w:val="2"/>
      <w:szCs w:val="2"/>
    </w:rPr>
  </w:style>
  <w:style w:type="character" w:customStyle="1" w:styleId="Small">
    <w:name w:val="Small"/>
    <w:basedOn w:val="DefaultParagraphFont"/>
    <w:rsid w:val="00D10EB2"/>
    <w:rPr>
      <w:sz w:val="16"/>
    </w:rPr>
  </w:style>
  <w:style w:type="paragraph" w:customStyle="1" w:styleId="WideTable">
    <w:name w:val="Wide Table"/>
    <w:basedOn w:val="Normal"/>
    <w:rsid w:val="00D10E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EB2"/>
  </w:style>
  <w:style w:type="paragraph" w:styleId="Quote">
    <w:name w:val="Quote"/>
    <w:basedOn w:val="Heading1"/>
    <w:link w:val="QuoteChar"/>
    <w:qFormat/>
    <w:rsid w:val="00D10E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E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EB2"/>
    <w:pPr>
      <w:pageBreakBefore/>
    </w:pPr>
  </w:style>
  <w:style w:type="paragraph" w:customStyle="1" w:styleId="Border">
    <w:name w:val="Border"/>
    <w:basedOn w:val="Normal"/>
    <w:qFormat/>
    <w:rsid w:val="00D10E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E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E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E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E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E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E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E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E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EB2"/>
    <w:rPr>
      <w:u w:val="single"/>
    </w:rPr>
  </w:style>
  <w:style w:type="character" w:customStyle="1" w:styleId="BoldandItalics">
    <w:name w:val="Bold and Italics"/>
    <w:qFormat/>
    <w:rsid w:val="00D10EB2"/>
    <w:rPr>
      <w:b/>
      <w:i/>
      <w:u w:val="none"/>
    </w:rPr>
  </w:style>
  <w:style w:type="paragraph" w:styleId="BalloonText">
    <w:name w:val="Balloon Text"/>
    <w:basedOn w:val="Normal"/>
    <w:link w:val="BalloonTextChar"/>
    <w:rsid w:val="00D10E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E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E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E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E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E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EB2"/>
    <w:pPr>
      <w:spacing w:before="0" w:after="0"/>
    </w:pPr>
  </w:style>
  <w:style w:type="paragraph" w:customStyle="1" w:styleId="BodyTextBold">
    <w:name w:val="Body Text Bold"/>
    <w:basedOn w:val="BodyText"/>
    <w:qFormat/>
    <w:rsid w:val="00D10EB2"/>
    <w:rPr>
      <w:b/>
    </w:rPr>
  </w:style>
  <w:style w:type="character" w:styleId="Hyperlink">
    <w:name w:val="Hyperlink"/>
    <w:basedOn w:val="DefaultParagraphFont"/>
    <w:uiPriority w:val="99"/>
    <w:unhideWhenUsed/>
    <w:rsid w:val="00023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2882</Characters>
  <Application>Microsoft Office Word</Application>
  <DocSecurity>0</DocSecurity>
  <Lines>84</Lines>
  <Paragraphs>54</Paragraphs>
  <ScaleCrop>false</ScaleCrop>
  <Company>Author-it Software Corporation Ltd.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PMBPROD206E Operate ancillary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