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4875" w:rsidP="003748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PMBPROD206E Operate ancillary equipment</w:t>
      </w:r>
      <w:r>
        <w:fldChar w:fldCharType="end"/>
      </w:r>
    </w:p>
    <w:p w:rsidR="00374875" w:rsidP="00374875">
      <w:pPr>
        <w:pStyle w:val="Version"/>
        <w:sectPr w:rsidSect="004846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46EE" w:rsidP="004846EE">
      <w:pPr>
        <w:pStyle w:val="SuperHeading"/>
      </w:pPr>
      <w:r w:rsidRPr="004846EE">
        <w:t>PMBPROD206E Operate ancillary equipment</w:t>
      </w:r>
    </w:p>
    <w:p w:rsidR="00000000" w:rsidRPr="004846EE" w:rsidP="004846EE">
      <w:pPr>
        <w:pStyle w:val="Heading1"/>
      </w:pPr>
      <w:bookmarkStart w:id="1" w:name="O_1114097"/>
      <w:bookmarkEnd w:id="1"/>
      <w:r w:rsidRPr="004846EE">
        <w:t>Modification History</w:t>
      </w:r>
    </w:p>
    <w:p w:rsidR="00000000" w:rsidRPr="004846EE" w:rsidP="00374875">
      <w:pPr>
        <w:pStyle w:val="BodyText"/>
      </w:pPr>
      <w:r w:rsidRPr="004846EE">
        <w:t>Release 1. Unit code changed. Application changed. Elements and Performance Criteria changed. Range of Conditions removed. Assessment Requirements changed. Supersedes and is equivalent to PMBPROD206 Operate ancillary equipment.</w:t>
      </w:r>
    </w:p>
    <w:p w:rsidR="00000000" w:rsidRPr="004846EE" w:rsidP="004846EE">
      <w:pPr>
        <w:pStyle w:val="Heading1"/>
      </w:pPr>
      <w:bookmarkStart w:id="2" w:name="O_1114098"/>
      <w:bookmarkEnd w:id="2"/>
      <w:r w:rsidRPr="004846EE">
        <w:t>Application</w:t>
      </w:r>
    </w:p>
    <w:p w:rsidR="00000000" w:rsidRPr="004846EE" w:rsidP="00374875">
      <w:pPr>
        <w:pStyle w:val="BodyText"/>
      </w:pPr>
      <w:r w:rsidRPr="004846EE">
        <w:t xml:space="preserve">This unit describes the skills and knowledge required to operate essential ancillary equipment that supports production operations, and is operated separately from the main production equipment. </w:t>
      </w:r>
    </w:p>
    <w:p w:rsidR="00000000" w:rsidRPr="004846EE" w:rsidP="00374875">
      <w:pPr>
        <w:pStyle w:val="Heading3"/>
      </w:pPr>
      <w:r w:rsidRPr="004846EE">
        <w:t>This unit applies to an individual w</w:t>
      </w:r>
      <w:r w:rsidRPr="004846EE">
        <w:t>orking alone or as part of a team</w:t>
      </w:r>
    </w:p>
    <w:p w:rsidR="00000000" w:rsidRPr="004846EE" w:rsidP="00374875">
      <w:pPr>
        <w:pStyle w:val="BodyText"/>
      </w:pPr>
      <w:r w:rsidRPr="004846EE">
        <w:t>The unit principally refers to essential ancillary units required to support the main operational functions, but often have a need for specialised skills and knowledge to ensure overall efficiency and reliability.</w:t>
      </w:r>
    </w:p>
    <w:p w:rsidR="00000000" w:rsidRPr="004846EE" w:rsidP="00374875">
      <w:pPr>
        <w:pStyle w:val="BodyText"/>
      </w:pPr>
      <w:r w:rsidRPr="004846EE">
        <w:t>No licen</w:t>
      </w:r>
      <w:r w:rsidRPr="004846EE">
        <w:t>sing or certification requirements apply to this unit of competency at the time of publication. Relevant legislation, industry standards and codes of practice within Australia must be applied.</w:t>
      </w:r>
    </w:p>
    <w:p w:rsidR="00000000" w:rsidRPr="004846EE" w:rsidP="004846EE">
      <w:pPr>
        <w:pStyle w:val="Heading1"/>
      </w:pPr>
      <w:bookmarkStart w:id="3" w:name="O_1114099"/>
      <w:bookmarkEnd w:id="3"/>
      <w:r w:rsidRPr="004846EE">
        <w:t>Pre-requisite Unit</w:t>
      </w:r>
    </w:p>
    <w:p w:rsidR="00000000" w:rsidRPr="004846EE" w:rsidP="00374875">
      <w:pPr>
        <w:pStyle w:val="BodyText"/>
      </w:pPr>
      <w:r w:rsidRPr="004846EE">
        <w:t>Nil</w:t>
      </w:r>
    </w:p>
    <w:p w:rsidR="00000000" w:rsidRPr="004846EE" w:rsidP="004846EE">
      <w:pPr>
        <w:pStyle w:val="Heading1"/>
      </w:pPr>
      <w:bookmarkStart w:id="4" w:name="O_1114100"/>
      <w:bookmarkEnd w:id="4"/>
      <w:r w:rsidRPr="004846EE">
        <w:t>Co</w:t>
      </w:r>
      <w:r w:rsidRPr="004846EE">
        <w:t>mpetency Field</w:t>
      </w:r>
    </w:p>
    <w:p w:rsidR="00000000" w:rsidRPr="004846EE" w:rsidP="00374875">
      <w:pPr>
        <w:pStyle w:val="BodyText"/>
      </w:pPr>
      <w:r w:rsidRPr="004846EE">
        <w:t>Production – Generic</w:t>
      </w:r>
    </w:p>
    <w:p w:rsidR="00000000" w:rsidRPr="004846EE" w:rsidP="004846EE">
      <w:pPr>
        <w:pStyle w:val="Heading1"/>
      </w:pPr>
      <w:bookmarkStart w:id="5" w:name="O_1114102"/>
      <w:bookmarkEnd w:id="5"/>
      <w:r w:rsidRPr="004846EE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4846E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6EE" w:rsidP="004846EE">
            <w:pPr>
              <w:pStyle w:val="BodyText"/>
            </w:pPr>
            <w:r w:rsidRPr="004846EE">
              <w:rPr>
                <w:rStyle w:val="SpecialBold"/>
              </w:rPr>
              <w:t>Elements</w:t>
            </w:r>
          </w:p>
          <w:p w:rsidR="00000000" w:rsidRPr="004846EE" w:rsidP="004846EE">
            <w:pPr>
              <w:pStyle w:val="BodyText"/>
            </w:pPr>
            <w:r w:rsidRPr="004846EE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6EE" w:rsidP="004846EE">
            <w:pPr>
              <w:pStyle w:val="BodyText"/>
            </w:pPr>
            <w:r w:rsidRPr="004846EE">
              <w:rPr>
                <w:rStyle w:val="SpecialBold"/>
              </w:rPr>
              <w:t>Performance Criteria</w:t>
            </w:r>
          </w:p>
          <w:p w:rsidR="00000000" w:rsidP="004846EE">
            <w:pPr>
              <w:pStyle w:val="BodyText"/>
              <w:rPr>
                <w:lang w:val="en-NZ"/>
              </w:rPr>
            </w:pPr>
            <w:r w:rsidRPr="004846EE">
              <w:t>Performance criteria describe the performance needed to demonstrate achievement of the element.</w:t>
            </w:r>
          </w:p>
        </w:tc>
      </w:tr>
      <w:tr w:rsidTr="004846E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6EE">
            <w:pPr>
              <w:pStyle w:val="BodyText"/>
              <w:rPr>
                <w:lang w:val="en-NZ"/>
              </w:rPr>
            </w:pPr>
            <w:r w:rsidRPr="004846EE">
              <w:t>1. Check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6EE" w:rsidP="004846EE">
            <w:pPr>
              <w:pStyle w:val="BodyText"/>
            </w:pPr>
            <w:r w:rsidRPr="004846EE">
              <w:t>1.1 Identify equipment requirements from job specifications</w:t>
            </w:r>
          </w:p>
          <w:p w:rsidR="00000000" w:rsidRPr="004846EE" w:rsidP="004846EE">
            <w:pPr>
              <w:pStyle w:val="BodyText"/>
            </w:pPr>
            <w:r w:rsidRPr="004846EE">
              <w:t>1.2 Perform housekeeping tasks to prepare for work to be undertaken</w:t>
            </w:r>
          </w:p>
          <w:p w:rsidR="00000000" w:rsidP="004846EE">
            <w:pPr>
              <w:pStyle w:val="BodyText"/>
              <w:rPr>
                <w:lang w:val="en-NZ"/>
              </w:rPr>
            </w:pPr>
            <w:r w:rsidRPr="004846EE">
              <w:t xml:space="preserve">1.3 Perform pre-operational checks including checking for and acting on hazards </w:t>
            </w:r>
          </w:p>
        </w:tc>
      </w:tr>
      <w:tr w:rsidTr="004846E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6EE">
            <w:pPr>
              <w:pStyle w:val="BodyText"/>
              <w:rPr>
                <w:lang w:val="en-NZ"/>
              </w:rPr>
            </w:pPr>
            <w:r w:rsidRPr="004846EE">
              <w:t xml:space="preserve">2. Start up and shutdown </w:t>
            </w:r>
            <w:r w:rsidRPr="004846EE">
              <w:t>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6EE" w:rsidP="004846EE">
            <w:pPr>
              <w:pStyle w:val="BodyText"/>
            </w:pPr>
            <w:r w:rsidRPr="004846EE">
              <w:t xml:space="preserve">2.1 Conduct pre-startup checks according to equipment specifications </w:t>
            </w:r>
            <w:r w:rsidRPr="004846EE">
              <w:t>and procedures</w:t>
            </w:r>
          </w:p>
          <w:p w:rsidR="00000000" w:rsidP="004846EE">
            <w:pPr>
              <w:pStyle w:val="BodyText"/>
              <w:rPr>
                <w:lang w:val="en-NZ"/>
              </w:rPr>
            </w:pPr>
            <w:r w:rsidRPr="004846EE">
              <w:t>2.2 Start up and shutdown each machine safely according to equipment instructions</w:t>
            </w:r>
          </w:p>
        </w:tc>
      </w:tr>
      <w:tr w:rsidTr="004846E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6EE">
            <w:pPr>
              <w:pStyle w:val="BodyText"/>
              <w:rPr>
                <w:lang w:val="en-NZ"/>
              </w:rPr>
            </w:pPr>
            <w:r w:rsidRPr="004846EE">
              <w:t>3. Operate ancillary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6EE" w:rsidP="004846EE">
            <w:pPr>
              <w:pStyle w:val="BodyText"/>
            </w:pPr>
            <w:r w:rsidRPr="004846EE">
              <w:t>3.1 Check process is op</w:t>
            </w:r>
            <w:r w:rsidRPr="004846EE">
              <w:t xml:space="preserve">erating according to equipment specifications and work requirements </w:t>
            </w:r>
          </w:p>
          <w:p w:rsidR="00000000" w:rsidRPr="004846EE" w:rsidP="004846EE">
            <w:pPr>
              <w:pStyle w:val="BodyText"/>
            </w:pPr>
            <w:r w:rsidRPr="004846EE">
              <w:t>3.2 Accurately complete logs and records</w:t>
            </w:r>
          </w:p>
          <w:p w:rsidR="00000000" w:rsidRPr="004846EE" w:rsidP="004846EE">
            <w:pPr>
              <w:pStyle w:val="BodyText"/>
            </w:pPr>
            <w:r w:rsidRPr="004846EE">
              <w:t>3.3 Pause or shut down units of equipment in normal and abnormal circumstances and make ready for next operation</w:t>
            </w:r>
          </w:p>
          <w:p w:rsidR="00000000" w:rsidP="004846EE">
            <w:pPr>
              <w:pStyle w:val="BodyText"/>
              <w:rPr>
                <w:lang w:val="en-NZ"/>
              </w:rPr>
            </w:pPr>
            <w:r w:rsidRPr="004846EE">
              <w:t>3.4 Clean equipment and work area</w:t>
            </w:r>
            <w:r w:rsidRPr="004846EE">
              <w:t xml:space="preserve"> according to equipment specifications and workplace procedures</w:t>
            </w:r>
          </w:p>
        </w:tc>
      </w:tr>
      <w:tr w:rsidTr="004846E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6EE">
            <w:pPr>
              <w:pStyle w:val="BodyText"/>
              <w:rPr>
                <w:lang w:val="en-NZ"/>
              </w:rPr>
            </w:pPr>
            <w:r w:rsidRPr="004846EE">
              <w:t>4. Respond to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6EE" w:rsidP="004846EE">
            <w:pPr>
              <w:pStyle w:val="BodyText"/>
            </w:pPr>
            <w:r w:rsidRPr="004846EE">
              <w:t>4.1 Recognise and log process control variances and their causes</w:t>
            </w:r>
          </w:p>
          <w:p w:rsidR="00000000" w:rsidRPr="004846EE" w:rsidP="004846EE">
            <w:pPr>
              <w:pStyle w:val="BodyText"/>
            </w:pPr>
            <w:r w:rsidRPr="004846EE">
              <w:t>4.2 Determine, prioritise and implement remedial and preventative actions based on identified issues and causes</w:t>
            </w:r>
          </w:p>
          <w:p w:rsidR="00000000" w:rsidRPr="004846EE" w:rsidP="004846EE">
            <w:pPr>
              <w:pStyle w:val="BodyText"/>
            </w:pPr>
            <w:r w:rsidRPr="004846EE">
              <w:t xml:space="preserve">4.3 Accurately maintain records and logbooks </w:t>
            </w:r>
          </w:p>
        </w:tc>
      </w:tr>
    </w:tbl>
    <w:p w:rsidR="00000000" w:rsidRPr="004846EE" w:rsidP="004846EE">
      <w:pPr>
        <w:pStyle w:val="BodyText"/>
      </w:pPr>
    </w:p>
    <w:p w:rsidR="00000000" w:rsidRPr="004846EE" w:rsidP="004846EE">
      <w:pPr>
        <w:pStyle w:val="AllowPageBreak"/>
      </w:pPr>
    </w:p>
    <w:p w:rsidR="00000000" w:rsidRPr="004846EE" w:rsidP="004846EE">
      <w:pPr>
        <w:pStyle w:val="Heading1"/>
      </w:pPr>
      <w:bookmarkStart w:id="6" w:name="O_1114103"/>
      <w:bookmarkEnd w:id="6"/>
      <w:r w:rsidRPr="004846EE">
        <w:t>Foundation Skills</w:t>
      </w:r>
    </w:p>
    <w:p w:rsidR="00000000" w:rsidRPr="004846EE" w:rsidP="00374875">
      <w:pPr>
        <w:pStyle w:val="BodyText"/>
      </w:pPr>
      <w:r w:rsidRPr="004846EE">
        <w:t>This section describes those language, literacy, numeracy a</w:t>
      </w:r>
      <w:r w:rsidRPr="004846EE">
        <w:t xml:space="preserve">nd employment skills that are essential to performance. </w:t>
      </w:r>
    </w:p>
    <w:p w:rsidR="00000000" w:rsidRPr="004846EE" w:rsidP="004846EE">
      <w:pPr>
        <w:pStyle w:val="ListBullet"/>
      </w:pPr>
      <w:r w:rsidRPr="004846EE">
        <w:t>Numeracy skills to interpret technical specifications and equipment readings.</w:t>
      </w:r>
    </w:p>
    <w:p w:rsidR="00000000" w:rsidRPr="004846EE" w:rsidP="004846EE">
      <w:pPr>
        <w:pStyle w:val="ListBullet"/>
      </w:pPr>
      <w:r w:rsidRPr="004846EE">
        <w:t>Reading skills to interpret specifications and workplace procedures.</w:t>
      </w:r>
    </w:p>
    <w:p w:rsidR="00000000" w:rsidRPr="004846EE" w:rsidP="004846EE">
      <w:pPr>
        <w:pStyle w:val="ListBullet"/>
      </w:pPr>
      <w:r w:rsidRPr="004846EE">
        <w:t>Writing and oral communication skills to record and</w:t>
      </w:r>
      <w:r w:rsidRPr="004846EE">
        <w:t xml:space="preserve"> report on ancillary equipment operation and process control variances.</w:t>
      </w:r>
    </w:p>
    <w:p w:rsidR="00000000" w:rsidRPr="00374875" w:rsidP="00374875">
      <w:pPr>
        <w:pStyle w:val="BodyText"/>
        <w:rPr>
          <w:i/>
        </w:rPr>
      </w:pPr>
      <w:r w:rsidRPr="00374875">
        <w:rPr>
          <w:rStyle w:val="Emphasis"/>
        </w:rPr>
        <w:t>Other foundation skills essential to performance are explicit in the performance criteria of this unit of competency.</w:t>
      </w:r>
    </w:p>
    <w:p w:rsidR="00000000" w:rsidRPr="004846EE" w:rsidP="004846EE">
      <w:pPr>
        <w:pStyle w:val="Heading1"/>
      </w:pPr>
      <w:bookmarkStart w:id="7" w:name="O_1114105"/>
      <w:bookmarkEnd w:id="7"/>
      <w:r w:rsidRPr="004846EE">
        <w:t>Unit Mapping Information</w:t>
      </w:r>
    </w:p>
    <w:p w:rsidR="00000000" w:rsidRPr="004846EE" w:rsidP="00374875">
      <w:pPr>
        <w:pStyle w:val="BodyText"/>
      </w:pPr>
      <w:r w:rsidRPr="004846EE">
        <w:t>Supersedes and is equivalent to PMBPROD206 Operate ancillary equipment.</w:t>
      </w:r>
    </w:p>
    <w:p w:rsidR="00000000" w:rsidRPr="004846EE" w:rsidP="004846EE">
      <w:pPr>
        <w:pStyle w:val="Heading1"/>
      </w:pPr>
      <w:bookmarkStart w:id="8" w:name="O_1114112"/>
      <w:bookmarkEnd w:id="8"/>
      <w:r w:rsidRPr="004846EE">
        <w:t>Links</w:t>
      </w:r>
    </w:p>
    <w:p w:rsidR="00000000" w:rsidRPr="004846EE" w:rsidP="00374875">
      <w:pPr>
        <w:pStyle w:val="BodyText"/>
      </w:pPr>
      <w:r w:rsidRPr="004846E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70113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4846EE" w:rsidP="00374875">
      <w:pPr>
        <w:pStyle w:val="BodyText"/>
        <w:sectPr w:rsidSect="004846E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846EE" w:rsidP="004846EE">
      <w:pPr>
        <w:pStyle w:val="SuperHeading"/>
      </w:pPr>
      <w:r w:rsidRPr="004846EE">
        <w:t>Assessment Requirements for PMBPROD206E Operate ancillary equipment</w:t>
      </w:r>
    </w:p>
    <w:p w:rsidR="00000000" w:rsidRPr="004846EE" w:rsidP="004846EE">
      <w:pPr>
        <w:pStyle w:val="Heading1"/>
      </w:pPr>
      <w:bookmarkStart w:id="9" w:name="O_1114107"/>
      <w:bookmarkEnd w:id="9"/>
      <w:r w:rsidRPr="004846EE">
        <w:t>Modification History</w:t>
      </w:r>
    </w:p>
    <w:p w:rsidR="00000000" w:rsidRPr="004846EE" w:rsidP="00374875">
      <w:pPr>
        <w:pStyle w:val="BodyText"/>
      </w:pPr>
      <w:r w:rsidRPr="004846EE">
        <w:t xml:space="preserve">Release 1. Unit code changed. Application changed. Elements and Performance Criteria changed. Range of </w:t>
      </w:r>
      <w:r w:rsidRPr="004846EE">
        <w:t>Conditions removed. Assessment Requirements changed. Supersedes and is equivalent to PMBPROD206 Operate ancillary equipment.</w:t>
      </w:r>
    </w:p>
    <w:p w:rsidR="00000000" w:rsidRPr="004846EE" w:rsidP="004846EE">
      <w:pPr>
        <w:pStyle w:val="Heading1"/>
      </w:pPr>
      <w:bookmarkStart w:id="10" w:name="O_1114108"/>
      <w:bookmarkEnd w:id="10"/>
      <w:r w:rsidRPr="004846EE">
        <w:t>Performance Evidence</w:t>
      </w:r>
    </w:p>
    <w:p w:rsidR="00000000" w:rsidRPr="004846EE" w:rsidP="00374875">
      <w:pPr>
        <w:pStyle w:val="BodyText"/>
      </w:pPr>
      <w:r w:rsidRPr="004846EE">
        <w:t>There must be evidence the candidate has completed the tasks outlined in the elements and p</w:t>
      </w:r>
      <w:r w:rsidRPr="004846EE">
        <w:t>erformance criteria of this unit, and demonstrated the ability to:</w:t>
      </w:r>
    </w:p>
    <w:p w:rsidR="00000000" w:rsidRPr="004846EE" w:rsidP="004846EE">
      <w:pPr>
        <w:pStyle w:val="ListBullet"/>
      </w:pPr>
      <w:r w:rsidRPr="004846EE">
        <w:t>operate ancillary equipment at least once to meet production requirements.</w:t>
      </w:r>
    </w:p>
    <w:p w:rsidR="00000000" w:rsidRPr="004846EE" w:rsidP="004846EE">
      <w:pPr>
        <w:pStyle w:val="AllowPageBreak"/>
      </w:pPr>
    </w:p>
    <w:p w:rsidR="00000000" w:rsidRPr="004846EE" w:rsidP="004846EE">
      <w:pPr>
        <w:pStyle w:val="Heading1"/>
      </w:pPr>
      <w:bookmarkStart w:id="11" w:name="O_1114109"/>
      <w:bookmarkEnd w:id="11"/>
      <w:r w:rsidRPr="004846EE">
        <w:t>Knowledge Evidence</w:t>
      </w:r>
    </w:p>
    <w:p w:rsidR="00000000" w:rsidRPr="004846EE" w:rsidP="00374875">
      <w:pPr>
        <w:pStyle w:val="BodyText"/>
      </w:pPr>
      <w:r w:rsidRPr="004846EE">
        <w:t xml:space="preserve">There must be evidence the candidate has knowledge of: </w:t>
      </w:r>
    </w:p>
    <w:p w:rsidR="00000000" w:rsidRPr="004846EE" w:rsidP="004846EE">
      <w:pPr>
        <w:pStyle w:val="ListBullet"/>
      </w:pPr>
      <w:r w:rsidRPr="004846EE">
        <w:t>the function and o</w:t>
      </w:r>
      <w:r w:rsidRPr="004846EE">
        <w:t>perating principles of ancillary equipment and components</w:t>
      </w:r>
    </w:p>
    <w:p w:rsidR="00000000" w:rsidRPr="004846EE" w:rsidP="004846EE">
      <w:pPr>
        <w:pStyle w:val="ListBullet"/>
      </w:pPr>
      <w:r w:rsidRPr="004846EE">
        <w:t>main and ancillary production workflow sequences and materials demand</w:t>
      </w:r>
    </w:p>
    <w:p w:rsidR="00000000" w:rsidRPr="004846EE" w:rsidP="004846EE">
      <w:pPr>
        <w:pStyle w:val="ListBullet"/>
      </w:pPr>
      <w:r w:rsidRPr="004846EE">
        <w:t>the criteria for overall process/equipment readiness for the process and equipment being used</w:t>
      </w:r>
    </w:p>
    <w:p w:rsidR="00000000" w:rsidRPr="004846EE" w:rsidP="004846EE">
      <w:pPr>
        <w:pStyle w:val="ListBullet"/>
      </w:pPr>
      <w:r w:rsidRPr="004846EE">
        <w:t>key variables that may affect equipment function and resulting production output on main production line</w:t>
      </w:r>
    </w:p>
    <w:p w:rsidR="00000000" w:rsidRPr="004846EE" w:rsidP="004846EE">
      <w:pPr>
        <w:pStyle w:val="ListBullet"/>
      </w:pPr>
      <w:r w:rsidRPr="004846EE">
        <w:t>typical process and equipment problems, including early warning signs, possible causes and corrective actions</w:t>
      </w:r>
    </w:p>
    <w:p w:rsidR="00000000" w:rsidRPr="004846EE" w:rsidP="004846EE">
      <w:pPr>
        <w:pStyle w:val="ListBullet"/>
      </w:pPr>
      <w:r w:rsidRPr="004846EE">
        <w:t>organisational procedures relevant to the</w:t>
      </w:r>
      <w:r w:rsidRPr="004846EE">
        <w:t xml:space="preserve"> work environment and job role, including procedures for the emergency shutdown of equipment</w:t>
      </w:r>
    </w:p>
    <w:p w:rsidR="00000000" w:rsidRPr="004846EE" w:rsidP="004846EE">
      <w:pPr>
        <w:pStyle w:val="ListBullet"/>
      </w:pPr>
      <w:r w:rsidRPr="004846EE">
        <w:t>hazards that may arise in the job or work environment, and:</w:t>
      </w:r>
    </w:p>
    <w:p w:rsidR="00000000" w:rsidRPr="004846EE" w:rsidP="004846EE">
      <w:pPr>
        <w:pStyle w:val="ListBullet2"/>
      </w:pPr>
      <w:r w:rsidRPr="004846EE">
        <w:t>their possible causes</w:t>
      </w:r>
    </w:p>
    <w:p w:rsidR="00000000" w:rsidRPr="004846EE" w:rsidP="004846EE">
      <w:pPr>
        <w:pStyle w:val="ListBullet2"/>
      </w:pPr>
      <w:r w:rsidRPr="004846EE">
        <w:t>potential consequences</w:t>
      </w:r>
    </w:p>
    <w:p w:rsidR="00000000" w:rsidRPr="004846EE" w:rsidP="004846EE">
      <w:pPr>
        <w:pStyle w:val="ListBullet2"/>
      </w:pPr>
      <w:r w:rsidRPr="004846EE">
        <w:t>appropriate risk controls.</w:t>
      </w:r>
    </w:p>
    <w:p w:rsidR="00000000" w:rsidRPr="004846EE" w:rsidP="004846EE">
      <w:pPr>
        <w:pStyle w:val="AllowPageBreak"/>
      </w:pPr>
    </w:p>
    <w:p w:rsidR="00000000" w:rsidRPr="004846EE" w:rsidP="004846EE">
      <w:pPr>
        <w:pStyle w:val="Heading1"/>
      </w:pPr>
      <w:bookmarkStart w:id="12" w:name="O_1114110"/>
      <w:bookmarkEnd w:id="12"/>
      <w:r w:rsidRPr="004846EE">
        <w:t xml:space="preserve">Assessment </w:t>
      </w:r>
      <w:r w:rsidRPr="004846EE">
        <w:t>Conditions</w:t>
      </w:r>
    </w:p>
    <w:p w:rsidR="00000000" w:rsidRPr="004846EE" w:rsidP="00374875">
      <w:pPr>
        <w:pStyle w:val="BodyText"/>
      </w:pPr>
      <w:r w:rsidRPr="004846EE">
        <w:t xml:space="preserve">Skills must have been demonstrated in the workplace or in a simulated environment that reflects workplace conditions and contingencies. </w:t>
      </w:r>
    </w:p>
    <w:p w:rsidR="00000000" w:rsidRPr="004846EE" w:rsidP="00374875">
      <w:pPr>
        <w:pStyle w:val="BodyText"/>
      </w:pPr>
      <w:r w:rsidRPr="004846EE">
        <w:t>Assessors must satisfy the NVR/AQTF mandatory competency requirements for assessors.</w:t>
      </w:r>
    </w:p>
    <w:p w:rsidR="00000000" w:rsidRPr="004846EE" w:rsidP="004846EE">
      <w:pPr>
        <w:pStyle w:val="Heading1"/>
      </w:pPr>
      <w:bookmarkStart w:id="13" w:name="O_1114113"/>
      <w:bookmarkEnd w:id="13"/>
      <w:r w:rsidRPr="004846EE">
        <w:t>Links</w:t>
      </w:r>
    </w:p>
    <w:p w:rsidR="00000000" w:rsidRPr="004846EE" w:rsidP="00374875">
      <w:pPr>
        <w:pStyle w:val="BodyText"/>
      </w:pPr>
      <w:r w:rsidRPr="004846E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70113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4846EE" w:rsidP="004846EE"/>
    <w:sectPr w:rsidSect="004846E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6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6EE" w:rsidRPr="00374875" w:rsidP="003748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6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875" w:rsidP="004846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4875" w:rsidP="004846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74875" w:rsidP="004846E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6EE" w:rsidP="004846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74875">
      <w:t>Approved</w:t>
    </w:r>
    <w:r w:rsidR="0037487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7487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74875">
      <w:rPr>
        <w:noProof/>
      </w:rPr>
      <w:t>4</w:t>
    </w:r>
    <w:r>
      <w:rPr>
        <w:noProof/>
      </w:rPr>
      <w:fldChar w:fldCharType="end"/>
    </w:r>
  </w:p>
  <w:p w:rsidR="004846EE" w:rsidP="004846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7487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74875">
      <w:t>Manufacturing Industry Skills Alliance</w:t>
    </w:r>
    <w:r w:rsidR="00374875">
      <w:fldChar w:fldCharType="end"/>
    </w:r>
  </w:p>
  <w:p w:rsidR="004846EE" w:rsidP="004846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6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8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46EE" w:rsidRPr="00374875" w:rsidP="003748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6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875" w:rsidRPr="002D2AF8" w:rsidP="004846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PMBPROD206E Operate ancillary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74875" w:rsidP="004846E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6EE" w:rsidRPr="002D2AF8" w:rsidP="004846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74875">
      <w:t>PMBPROD206E Operate ancillary equipment</w:t>
    </w:r>
    <w:r w:rsidR="0037487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74875">
      <w:rPr>
        <w:noProof/>
      </w:rPr>
      <w:t>1 March 2025</w:t>
    </w:r>
    <w:r>
      <w:fldChar w:fldCharType="end"/>
    </w:r>
  </w:p>
  <w:p w:rsidR="004846EE" w:rsidP="004846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223F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DE93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9AC8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6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46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46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46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46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46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46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46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46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46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46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46EE"/>
  </w:style>
  <w:style w:type="character" w:customStyle="1" w:styleId="Heading1Char">
    <w:name w:val="Heading 1 Char"/>
    <w:basedOn w:val="DefaultParagraphFont"/>
    <w:link w:val="Heading1"/>
    <w:rsid w:val="004846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46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46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46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46EE"/>
    <w:rPr>
      <w:b/>
      <w:spacing w:val="0"/>
    </w:rPr>
  </w:style>
  <w:style w:type="paragraph" w:styleId="ListBullet2">
    <w:name w:val="List Bullet 2"/>
    <w:basedOn w:val="List2"/>
    <w:rsid w:val="004846E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846EE"/>
    <w:rPr>
      <w:i/>
    </w:rPr>
  </w:style>
  <w:style w:type="paragraph" w:customStyle="1" w:styleId="SuperHeading">
    <w:name w:val="SuperHeading"/>
    <w:basedOn w:val="Normal"/>
    <w:rsid w:val="004846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46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46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46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46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46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46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46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46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46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46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46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46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46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46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46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46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46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46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46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46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46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46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46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46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46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46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46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46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46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46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46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46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46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46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46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46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46EE"/>
  </w:style>
  <w:style w:type="paragraph" w:styleId="TableofFigures">
    <w:name w:val="table of figures"/>
    <w:basedOn w:val="Normal"/>
    <w:next w:val="Normal"/>
    <w:semiHidden/>
    <w:rsid w:val="004846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46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46EE"/>
    <w:rPr>
      <w:rFonts w:ascii="Wingdings" w:hAnsi="Wingdings"/>
    </w:rPr>
  </w:style>
  <w:style w:type="paragraph" w:customStyle="1" w:styleId="TableHeading">
    <w:name w:val="Table Heading"/>
    <w:basedOn w:val="HeadingBase"/>
    <w:rsid w:val="004846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46EE"/>
    <w:rPr>
      <w:color w:val="0033CC"/>
      <w:u w:val="none"/>
    </w:rPr>
  </w:style>
  <w:style w:type="paragraph" w:customStyle="1" w:styleId="BodyTextRight">
    <w:name w:val="Body Text Right"/>
    <w:basedOn w:val="BodyText"/>
    <w:rsid w:val="004846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46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46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46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46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46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46EE"/>
    <w:rPr>
      <w:sz w:val="32"/>
    </w:rPr>
  </w:style>
  <w:style w:type="paragraph" w:customStyle="1" w:styleId="HeadingProcedure">
    <w:name w:val="Heading Procedure"/>
    <w:basedOn w:val="HeadingBase"/>
    <w:next w:val="Normal"/>
    <w:rsid w:val="004846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46EE"/>
    <w:pPr>
      <w:spacing w:before="60" w:after="60"/>
    </w:pPr>
  </w:style>
  <w:style w:type="paragraph" w:styleId="ListContinue">
    <w:name w:val="List Continue"/>
    <w:basedOn w:val="List"/>
    <w:rsid w:val="004846EE"/>
    <w:pPr>
      <w:ind w:firstLine="0"/>
    </w:pPr>
  </w:style>
  <w:style w:type="paragraph" w:customStyle="1" w:styleId="ListNote">
    <w:name w:val="List Note"/>
    <w:basedOn w:val="List"/>
    <w:rsid w:val="004846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46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46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46EE"/>
    <w:rPr>
      <w:rFonts w:ascii="Courier New" w:hAnsi="Courier New"/>
    </w:rPr>
  </w:style>
  <w:style w:type="paragraph" w:customStyle="1" w:styleId="NoteBullet">
    <w:name w:val="Note Bullet"/>
    <w:basedOn w:val="Note"/>
    <w:rsid w:val="004846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46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46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46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46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46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46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46EE"/>
    <w:rPr>
      <w:b/>
      <w:smallCaps/>
    </w:rPr>
  </w:style>
  <w:style w:type="paragraph" w:customStyle="1" w:styleId="TableListNumber">
    <w:name w:val="Table List Number"/>
    <w:basedOn w:val="ListNumber"/>
    <w:rsid w:val="004846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46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46EE"/>
    <w:pPr>
      <w:numPr>
        <w:numId w:val="9"/>
      </w:numPr>
    </w:pPr>
  </w:style>
  <w:style w:type="paragraph" w:customStyle="1" w:styleId="ListAlpha2">
    <w:name w:val="List Alpha 2"/>
    <w:basedOn w:val="List2"/>
    <w:rsid w:val="004846EE"/>
    <w:pPr>
      <w:numPr>
        <w:numId w:val="8"/>
      </w:numPr>
    </w:pPr>
  </w:style>
  <w:style w:type="paragraph" w:styleId="List2">
    <w:name w:val="List 2"/>
    <w:basedOn w:val="BodyText"/>
    <w:rsid w:val="004846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46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46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46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46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46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46EE"/>
    <w:pPr>
      <w:numPr>
        <w:numId w:val="4"/>
      </w:numPr>
    </w:pPr>
  </w:style>
  <w:style w:type="paragraph" w:styleId="ListContinue2">
    <w:name w:val="List Continue 2"/>
    <w:basedOn w:val="List2"/>
    <w:rsid w:val="004846EE"/>
    <w:pPr>
      <w:ind w:firstLine="0"/>
    </w:pPr>
  </w:style>
  <w:style w:type="paragraph" w:styleId="ListContinue3">
    <w:name w:val="List Continue 3"/>
    <w:basedOn w:val="List3"/>
    <w:rsid w:val="004846EE"/>
    <w:pPr>
      <w:ind w:left="1021" w:firstLine="0"/>
    </w:pPr>
  </w:style>
  <w:style w:type="paragraph" w:styleId="ListContinue4">
    <w:name w:val="List Continue 4"/>
    <w:basedOn w:val="List4"/>
    <w:rsid w:val="004846EE"/>
    <w:pPr>
      <w:ind w:firstLine="0"/>
    </w:pPr>
  </w:style>
  <w:style w:type="paragraph" w:styleId="ListContinue5">
    <w:name w:val="List Continue 5"/>
    <w:basedOn w:val="List5"/>
    <w:rsid w:val="004846EE"/>
    <w:pPr>
      <w:ind w:firstLine="0"/>
    </w:pPr>
  </w:style>
  <w:style w:type="paragraph" w:styleId="ListNumber3">
    <w:name w:val="List Number 3"/>
    <w:basedOn w:val="List3"/>
    <w:rsid w:val="004846EE"/>
    <w:pPr>
      <w:numPr>
        <w:numId w:val="5"/>
      </w:numPr>
    </w:pPr>
  </w:style>
  <w:style w:type="paragraph" w:styleId="ListNumber4">
    <w:name w:val="List Number 4"/>
    <w:basedOn w:val="List4"/>
    <w:rsid w:val="004846EE"/>
    <w:pPr>
      <w:numPr>
        <w:numId w:val="6"/>
      </w:numPr>
    </w:pPr>
  </w:style>
  <w:style w:type="paragraph" w:styleId="ListNumber5">
    <w:name w:val="List Number 5"/>
    <w:basedOn w:val="List5"/>
    <w:rsid w:val="004846EE"/>
    <w:pPr>
      <w:numPr>
        <w:numId w:val="7"/>
      </w:numPr>
    </w:pPr>
  </w:style>
  <w:style w:type="paragraph" w:styleId="BlockText">
    <w:name w:val="Block Text"/>
    <w:basedOn w:val="Normal"/>
    <w:rsid w:val="004846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46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46EE"/>
    <w:rPr>
      <w:sz w:val="16"/>
      <w:vertAlign w:val="superscript"/>
    </w:rPr>
  </w:style>
  <w:style w:type="character" w:customStyle="1" w:styleId="Symbols">
    <w:name w:val="Symbols"/>
    <w:basedOn w:val="DefaultParagraphFont"/>
    <w:rsid w:val="004846EE"/>
    <w:rPr>
      <w:rFonts w:ascii="Symbol" w:hAnsi="Symbol"/>
    </w:rPr>
  </w:style>
  <w:style w:type="character" w:customStyle="1" w:styleId="MenuOptions">
    <w:name w:val="Menu Options"/>
    <w:basedOn w:val="DefaultParagraphFont"/>
    <w:rsid w:val="004846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46EE"/>
    <w:rPr>
      <w:b/>
    </w:rPr>
  </w:style>
  <w:style w:type="character" w:customStyle="1" w:styleId="Underlined">
    <w:name w:val="Underlined"/>
    <w:basedOn w:val="DefaultParagraphFont"/>
    <w:rsid w:val="004846EE"/>
    <w:rPr>
      <w:u w:val="single"/>
    </w:rPr>
  </w:style>
  <w:style w:type="paragraph" w:customStyle="1" w:styleId="TableBodyTextRight">
    <w:name w:val="Table Body Text Right"/>
    <w:basedOn w:val="TableBodyText"/>
    <w:rsid w:val="004846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46EE"/>
    <w:rPr>
      <w:sz w:val="18"/>
    </w:rPr>
  </w:style>
  <w:style w:type="paragraph" w:customStyle="1" w:styleId="BodySmallRight">
    <w:name w:val="Body Small Right"/>
    <w:basedOn w:val="BodyTextRight"/>
    <w:rsid w:val="004846EE"/>
    <w:rPr>
      <w:sz w:val="18"/>
      <w:szCs w:val="18"/>
    </w:rPr>
  </w:style>
  <w:style w:type="paragraph" w:customStyle="1" w:styleId="MarginEdition">
    <w:name w:val="Margin Edition"/>
    <w:basedOn w:val="MarginNote"/>
    <w:rsid w:val="004846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46EE"/>
    <w:rPr>
      <w:sz w:val="2"/>
      <w:szCs w:val="2"/>
    </w:rPr>
  </w:style>
  <w:style w:type="character" w:customStyle="1" w:styleId="Small">
    <w:name w:val="Small"/>
    <w:basedOn w:val="DefaultParagraphFont"/>
    <w:rsid w:val="004846EE"/>
    <w:rPr>
      <w:sz w:val="16"/>
    </w:rPr>
  </w:style>
  <w:style w:type="paragraph" w:customStyle="1" w:styleId="WideTable">
    <w:name w:val="Wide Table"/>
    <w:basedOn w:val="Normal"/>
    <w:rsid w:val="004846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46EE"/>
  </w:style>
  <w:style w:type="paragraph" w:styleId="Quote">
    <w:name w:val="Quote"/>
    <w:basedOn w:val="Heading1"/>
    <w:link w:val="QuoteChar"/>
    <w:qFormat/>
    <w:rsid w:val="004846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46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46EE"/>
    <w:pPr>
      <w:pageBreakBefore/>
    </w:pPr>
  </w:style>
  <w:style w:type="paragraph" w:customStyle="1" w:styleId="Border">
    <w:name w:val="Border"/>
    <w:basedOn w:val="Normal"/>
    <w:qFormat/>
    <w:rsid w:val="004846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46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6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6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46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46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46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46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46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46EE"/>
    <w:rPr>
      <w:u w:val="single"/>
    </w:rPr>
  </w:style>
  <w:style w:type="character" w:customStyle="1" w:styleId="BoldandItalics">
    <w:name w:val="Bold and Italics"/>
    <w:qFormat/>
    <w:rsid w:val="004846EE"/>
    <w:rPr>
      <w:b/>
      <w:i/>
      <w:u w:val="none"/>
    </w:rPr>
  </w:style>
  <w:style w:type="paragraph" w:styleId="BalloonText">
    <w:name w:val="Balloon Text"/>
    <w:basedOn w:val="Normal"/>
    <w:link w:val="BalloonTextChar"/>
    <w:rsid w:val="004846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46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46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46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46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46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46EE"/>
    <w:pPr>
      <w:spacing w:before="0" w:after="0"/>
    </w:pPr>
  </w:style>
  <w:style w:type="paragraph" w:customStyle="1" w:styleId="BodyTextBold">
    <w:name w:val="Body Text Bold"/>
    <w:basedOn w:val="BodyText"/>
    <w:qFormat/>
    <w:rsid w:val="004846EE"/>
    <w:rPr>
      <w:b/>
    </w:rPr>
  </w:style>
  <w:style w:type="character" w:styleId="Hyperlink">
    <w:name w:val="Hyperlink"/>
    <w:basedOn w:val="DefaultParagraphFont"/>
    <w:uiPriority w:val="99"/>
    <w:unhideWhenUsed/>
    <w:rsid w:val="003748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676</Words>
  <Characters>4514</Characters>
  <Application>Microsoft Office Word</Application>
  <DocSecurity>0</DocSecurity>
  <Lines>128</Lines>
  <Paragraphs>82</Paragraphs>
  <ScaleCrop>false</ScaleCrop>
  <Company>Author-it Software Corporation Ltd.</Company>
  <LinksUpToDate>false</LinksUpToDate>
  <CharactersWithSpaces>5108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PMBPROD206E Operate ancillary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2025-03-01T11:53:00Z</dcterms:created>
  <dcterms:modified xsi:type="dcterms:W3CDTF">2025-03-01T11:53:00Z</dcterms:modified>
</cp:coreProperties>
</file>