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5EC5" w:rsidP="002E5E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PMBPREP305E Change extrusion die and calibrator</w:t>
      </w:r>
      <w:r>
        <w:fldChar w:fldCharType="end"/>
      </w:r>
    </w:p>
    <w:p w:rsidR="002E5EC5" w:rsidP="002E5EC5">
      <w:pPr>
        <w:pStyle w:val="Version"/>
        <w:sectPr w:rsidSect="00A875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875B4" w:rsidP="00A875B4">
      <w:pPr>
        <w:pStyle w:val="SuperHeading"/>
      </w:pPr>
      <w:r w:rsidRPr="00A875B4">
        <w:t>PMBPREP305E Change extrusion die and calibrator</w:t>
      </w:r>
    </w:p>
    <w:p w:rsidR="00000000" w:rsidRPr="00A875B4" w:rsidP="00A875B4">
      <w:pPr>
        <w:pStyle w:val="Heading1"/>
      </w:pPr>
      <w:bookmarkStart w:id="1" w:name="O_1114078"/>
      <w:bookmarkEnd w:id="1"/>
      <w:r w:rsidRPr="00A875B4">
        <w:t>Modification History</w:t>
      </w:r>
    </w:p>
    <w:p w:rsidR="00000000" w:rsidRPr="00A875B4" w:rsidP="002E5EC5">
      <w:pPr>
        <w:pStyle w:val="BodyText"/>
      </w:pPr>
      <w:r w:rsidRPr="00A875B4">
        <w:t xml:space="preserve">Release 1. Unit code and title changed. Application changed. Elements and Performance Criteria changed. Range of Conditions removed. Assessment Requirements changed. Supersedes and is equivalent to PMBPREP305 Change extrusion </w:t>
      </w:r>
      <w:r w:rsidRPr="00A875B4">
        <w:t>die and setup.</w:t>
      </w:r>
    </w:p>
    <w:p w:rsidR="00000000" w:rsidRPr="00A875B4" w:rsidP="00A875B4">
      <w:pPr>
        <w:pStyle w:val="Heading1"/>
      </w:pPr>
      <w:bookmarkStart w:id="2" w:name="O_1114079"/>
      <w:bookmarkEnd w:id="2"/>
      <w:r w:rsidRPr="00A875B4">
        <w:t>Application</w:t>
      </w:r>
    </w:p>
    <w:p w:rsidR="00000000" w:rsidRPr="00A875B4" w:rsidP="002E5EC5">
      <w:pPr>
        <w:pStyle w:val="BodyText"/>
      </w:pPr>
      <w:r w:rsidRPr="00A875B4">
        <w:t>This unit covers the skills and knowledge required to remove and change dies, pins, sizing dies (calibrator/s), vacuum blocks and seals used in extrusion line processes.</w:t>
      </w:r>
    </w:p>
    <w:p w:rsidR="00000000" w:rsidRPr="00A875B4" w:rsidP="002E5EC5">
      <w:pPr>
        <w:pStyle w:val="BodyText"/>
      </w:pPr>
      <w:r w:rsidRPr="00A875B4">
        <w:t>This unit applies to an experienced tech</w:t>
      </w:r>
      <w:r w:rsidRPr="00A875B4">
        <w:t>nician working alone or as part of a team.</w:t>
      </w:r>
    </w:p>
    <w:p w:rsidR="00000000" w:rsidRPr="00A875B4" w:rsidP="002E5EC5">
      <w:pPr>
        <w:pStyle w:val="BodyText"/>
      </w:pPr>
      <w:r w:rsidRPr="00A875B4">
        <w:t>The unit principally refers to extrusion technology equivalent to die-setting in injection moulding technology and making the required changes to enable a shift to make a new product or use a different polymer.</w:t>
      </w:r>
    </w:p>
    <w:p w:rsidR="00000000" w:rsidRPr="00A875B4" w:rsidP="002E5EC5">
      <w:pPr>
        <w:pStyle w:val="BodyText"/>
      </w:pPr>
      <w:r w:rsidRPr="00A875B4">
        <w:t>No</w:t>
      </w:r>
      <w:r w:rsidRPr="00A875B4">
        <w:t xml:space="preserve"> licensing or certification requirements exist at the time of publication. Relevant legislation, industry standards and codes of practice within Australia must be applied.</w:t>
      </w:r>
    </w:p>
    <w:p w:rsidR="00000000" w:rsidRPr="00A875B4" w:rsidP="00A875B4">
      <w:pPr>
        <w:pStyle w:val="Heading1"/>
      </w:pPr>
      <w:bookmarkStart w:id="3" w:name="O_1114080"/>
      <w:bookmarkEnd w:id="3"/>
      <w:r w:rsidRPr="00A875B4">
        <w:t>Pre-requisite Unit</w:t>
      </w:r>
    </w:p>
    <w:p w:rsidR="00000000" w:rsidRPr="00A875B4" w:rsidP="002E5EC5">
      <w:pPr>
        <w:pStyle w:val="BodyText"/>
      </w:pPr>
      <w:r w:rsidRPr="00A875B4">
        <w:t>Nil</w:t>
      </w:r>
    </w:p>
    <w:p w:rsidR="00000000" w:rsidRPr="00A875B4" w:rsidP="00A875B4">
      <w:pPr>
        <w:pStyle w:val="Heading1"/>
      </w:pPr>
      <w:bookmarkStart w:id="4" w:name="O_1114081"/>
      <w:bookmarkEnd w:id="4"/>
      <w:r w:rsidRPr="00A875B4">
        <w:t>Competency Field</w:t>
      </w:r>
    </w:p>
    <w:p w:rsidR="00000000" w:rsidRPr="00A875B4" w:rsidP="002E5EC5">
      <w:pPr>
        <w:pStyle w:val="BodyText"/>
      </w:pPr>
      <w:r w:rsidRPr="00A875B4">
        <w:t>Prepar</w:t>
      </w:r>
      <w:r w:rsidRPr="00A875B4">
        <w:t>ation – Extrusion</w:t>
      </w:r>
    </w:p>
    <w:p w:rsidR="00000000" w:rsidRPr="00A875B4" w:rsidP="00A875B4">
      <w:pPr>
        <w:pStyle w:val="Heading1"/>
      </w:pPr>
      <w:bookmarkStart w:id="5" w:name="O_1114083"/>
      <w:bookmarkEnd w:id="5"/>
      <w:r w:rsidRPr="00A875B4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A875B4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5B4" w:rsidP="00A875B4">
            <w:pPr>
              <w:pStyle w:val="BodyText"/>
            </w:pPr>
            <w:r w:rsidRPr="00A875B4">
              <w:rPr>
                <w:rStyle w:val="SpecialBold"/>
              </w:rPr>
              <w:t>Elements</w:t>
            </w:r>
          </w:p>
          <w:p w:rsidR="00000000" w:rsidRPr="00A875B4" w:rsidP="00A875B4">
            <w:pPr>
              <w:pStyle w:val="BodyText"/>
            </w:pPr>
            <w:r w:rsidRPr="00A875B4">
              <w:t>Elements describe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5B4" w:rsidP="00A875B4">
            <w:pPr>
              <w:pStyle w:val="BodyText"/>
            </w:pPr>
            <w:r w:rsidRPr="00A875B4">
              <w:rPr>
                <w:rStyle w:val="SpecialBold"/>
              </w:rPr>
              <w:t>Performance Criteria</w:t>
            </w:r>
          </w:p>
          <w:p w:rsidR="00000000" w:rsidP="00A875B4">
            <w:pPr>
              <w:pStyle w:val="BodyText"/>
              <w:rPr>
                <w:lang w:val="en-NZ"/>
              </w:rPr>
            </w:pPr>
            <w:r w:rsidRPr="00A875B4">
              <w:t>Performance criteria describe the performance needed to demonstrate achievement of the element.</w:t>
            </w:r>
          </w:p>
        </w:tc>
      </w:tr>
      <w:tr w:rsidTr="00A875B4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5B4">
            <w:pPr>
              <w:pStyle w:val="BodyText"/>
              <w:rPr>
                <w:lang w:val="en-NZ"/>
              </w:rPr>
            </w:pPr>
            <w:r w:rsidRPr="00A875B4">
              <w:t>1. Prepare to change dies or cores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5B4" w:rsidP="00A875B4">
            <w:pPr>
              <w:pStyle w:val="BodyText"/>
            </w:pPr>
            <w:r w:rsidRPr="00A875B4">
              <w:t>1.1 Plan process for shutting down machinery and inform relevant personnel</w:t>
            </w:r>
          </w:p>
          <w:p w:rsidR="00000000" w:rsidRPr="00A875B4" w:rsidP="00A875B4">
            <w:pPr>
              <w:pStyle w:val="BodyText"/>
            </w:pPr>
            <w:r w:rsidRPr="00A875B4">
              <w:t xml:space="preserve">1.2 Take last-off samples from machine to complete die reports </w:t>
            </w:r>
          </w:p>
          <w:p w:rsidR="00000000" w:rsidRPr="00A875B4" w:rsidP="00A875B4">
            <w:pPr>
              <w:pStyle w:val="BodyText"/>
            </w:pPr>
            <w:r w:rsidRPr="00A875B4">
              <w:t>1.3 Select dies or cores to match product or process specification</w:t>
            </w:r>
          </w:p>
          <w:p w:rsidR="00000000" w:rsidP="00A875B4">
            <w:pPr>
              <w:pStyle w:val="BodyText"/>
              <w:rPr>
                <w:lang w:val="en-NZ"/>
              </w:rPr>
            </w:pPr>
            <w:r w:rsidRPr="00A875B4">
              <w:t>1.4 Implement m</w:t>
            </w:r>
            <w:r w:rsidRPr="00A875B4">
              <w:t>easures to control identified hazards</w:t>
            </w:r>
          </w:p>
        </w:tc>
      </w:tr>
      <w:tr w:rsidTr="00A875B4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5B4">
            <w:pPr>
              <w:pStyle w:val="BodyText"/>
              <w:rPr>
                <w:lang w:val="en-NZ"/>
              </w:rPr>
            </w:pPr>
            <w:r w:rsidRPr="00A875B4">
              <w:t>2. Shut down extruder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5B4" w:rsidP="00A875B4">
            <w:pPr>
              <w:pStyle w:val="BodyText"/>
            </w:pPr>
            <w:r w:rsidRPr="00A875B4">
              <w:t>2.1 Shut down downstream equipment according to equipment specifications and shutdown process plan</w:t>
            </w:r>
          </w:p>
          <w:p w:rsidR="00000000" w:rsidRPr="00A875B4" w:rsidP="00A875B4">
            <w:pPr>
              <w:pStyle w:val="BodyText"/>
            </w:pPr>
            <w:r w:rsidRPr="00A875B4">
              <w:t>2.2 Shut down feed, drop temperatures, shut down vacuum pump and purge extruder according to equ</w:t>
            </w:r>
            <w:r w:rsidRPr="00A875B4">
              <w:t>ipment specifications</w:t>
            </w:r>
          </w:p>
          <w:p w:rsidR="00000000" w:rsidP="00A875B4">
            <w:pPr>
              <w:pStyle w:val="BodyText"/>
              <w:rPr>
                <w:lang w:val="en-NZ"/>
              </w:rPr>
            </w:pPr>
            <w:r w:rsidRPr="00A875B4">
              <w:t>2.3 Activate isolating locks and disconnect power to heaters according to equipment specifications</w:t>
            </w:r>
          </w:p>
        </w:tc>
      </w:tr>
      <w:tr w:rsidTr="00A875B4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5B4">
            <w:pPr>
              <w:pStyle w:val="BodyText"/>
              <w:rPr>
                <w:lang w:val="en-NZ"/>
              </w:rPr>
            </w:pPr>
            <w:r w:rsidRPr="00A875B4">
              <w:t>3. Change extruder set-up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5B4" w:rsidP="00A875B4">
            <w:pPr>
              <w:pStyle w:val="BodyText"/>
            </w:pPr>
            <w:r w:rsidRPr="00A875B4">
              <w:t xml:space="preserve">3.1 Remove, clean and store die to prepare for replacement </w:t>
            </w:r>
          </w:p>
          <w:p w:rsidR="00000000" w:rsidRPr="00A875B4" w:rsidP="00A875B4">
            <w:pPr>
              <w:pStyle w:val="BodyText"/>
            </w:pPr>
            <w:r w:rsidRPr="00A875B4">
              <w:t xml:space="preserve">3.2 Fit replacement die, ensuring that locating </w:t>
            </w:r>
            <w:r w:rsidRPr="00A875B4">
              <w:t>devices and marks are matched, and securing devices are installed and tightened to specification</w:t>
            </w:r>
          </w:p>
          <w:p w:rsidR="00000000" w:rsidRPr="00A875B4" w:rsidP="00A875B4">
            <w:pPr>
              <w:pStyle w:val="BodyText"/>
            </w:pPr>
            <w:r w:rsidRPr="00A875B4">
              <w:t>3.3 Remove and refit calibrator sleeve and seals to meet requirements</w:t>
            </w:r>
          </w:p>
          <w:p w:rsidR="00000000" w:rsidP="00A875B4">
            <w:pPr>
              <w:pStyle w:val="BodyText"/>
              <w:rPr>
                <w:lang w:val="en-NZ"/>
              </w:rPr>
            </w:pPr>
            <w:r w:rsidRPr="00A875B4">
              <w:t>3.4 Set heats according to pre-startup procedures</w:t>
            </w:r>
          </w:p>
        </w:tc>
      </w:tr>
      <w:tr w:rsidTr="00A875B4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5B4">
            <w:pPr>
              <w:pStyle w:val="BodyText"/>
              <w:rPr>
                <w:lang w:val="en-NZ"/>
              </w:rPr>
            </w:pPr>
            <w:r w:rsidRPr="00A875B4">
              <w:t>4. Restart and test new set-up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5B4" w:rsidP="00A875B4">
            <w:pPr>
              <w:pStyle w:val="BodyText"/>
            </w:pPr>
            <w:r w:rsidRPr="00A875B4">
              <w:t>4.1 Check operation of die against product quality and expected operational standard</w:t>
            </w:r>
          </w:p>
          <w:p w:rsidR="00000000" w:rsidRPr="00A875B4" w:rsidP="00A875B4">
            <w:pPr>
              <w:pStyle w:val="BodyText"/>
            </w:pPr>
            <w:r w:rsidRPr="00A875B4">
              <w:t>4.2 Compare machine setting ranges against documented requirements and machine specifications</w:t>
            </w:r>
          </w:p>
          <w:p w:rsidR="00000000" w:rsidRPr="00A875B4" w:rsidP="00A875B4">
            <w:pPr>
              <w:pStyle w:val="BodyText"/>
            </w:pPr>
            <w:r w:rsidRPr="00A875B4">
              <w:t>4.3 Check a first-off sample for compliance with required standards</w:t>
            </w:r>
          </w:p>
          <w:p w:rsidR="00000000" w:rsidRPr="00A875B4" w:rsidP="00A875B4">
            <w:pPr>
              <w:pStyle w:val="BodyText"/>
            </w:pPr>
            <w:r w:rsidRPr="00A875B4">
              <w:t>4.4 Fine-</w:t>
            </w:r>
            <w:r w:rsidRPr="00A875B4">
              <w:t>tune settings and other production variables to achieve required output quality</w:t>
            </w:r>
          </w:p>
          <w:p w:rsidR="00000000" w:rsidRPr="00A875B4" w:rsidP="00A875B4">
            <w:pPr>
              <w:pStyle w:val="BodyText"/>
            </w:pPr>
            <w:r w:rsidRPr="00A875B4">
              <w:t>4.5 Compare standard operating procedures with actual production run and note variances</w:t>
            </w:r>
          </w:p>
          <w:p w:rsidR="00000000" w:rsidP="00A875B4">
            <w:pPr>
              <w:pStyle w:val="BodyText"/>
              <w:rPr>
                <w:lang w:val="en-NZ"/>
              </w:rPr>
            </w:pPr>
            <w:r w:rsidRPr="00A875B4">
              <w:t xml:space="preserve">4.6 Accurately complete documentation </w:t>
            </w:r>
          </w:p>
        </w:tc>
      </w:tr>
      <w:tr w:rsidTr="00A875B4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5B4">
            <w:pPr>
              <w:pStyle w:val="BodyText"/>
              <w:rPr>
                <w:lang w:val="en-NZ"/>
              </w:rPr>
            </w:pPr>
            <w:r w:rsidRPr="00A875B4">
              <w:t>5. Anticipate and solve process control variance</w:t>
            </w:r>
            <w:r w:rsidRPr="00A875B4">
              <w:t>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5B4" w:rsidP="00A875B4">
            <w:pPr>
              <w:pStyle w:val="BodyText"/>
            </w:pPr>
            <w:r w:rsidRPr="00A875B4">
              <w:t>5.1 Recognise existing or potential process control variances and their causes</w:t>
            </w:r>
          </w:p>
          <w:p w:rsidR="00000000" w:rsidRPr="00A875B4" w:rsidP="00A875B4">
            <w:pPr>
              <w:pStyle w:val="BodyText"/>
            </w:pPr>
            <w:r w:rsidRPr="00A875B4">
              <w:t>5.2 Determine, prioritise and implement remedial and preventative actions based on identified issues and causes</w:t>
            </w:r>
          </w:p>
          <w:p w:rsidR="00000000" w:rsidRPr="00A875B4" w:rsidP="00A875B4">
            <w:pPr>
              <w:pStyle w:val="BodyText"/>
            </w:pPr>
            <w:r w:rsidRPr="00A875B4">
              <w:t>5.3 Monitor process control variances and corrective actions ta</w:t>
            </w:r>
            <w:r w:rsidRPr="00A875B4">
              <w:t>ken until resolved</w:t>
            </w:r>
          </w:p>
        </w:tc>
      </w:tr>
    </w:tbl>
    <w:p w:rsidR="00000000" w:rsidRPr="00A875B4" w:rsidP="00A875B4">
      <w:pPr>
        <w:pStyle w:val="BodyText"/>
      </w:pPr>
    </w:p>
    <w:p w:rsidR="00000000" w:rsidRPr="00A875B4" w:rsidP="00A875B4">
      <w:pPr>
        <w:pStyle w:val="AllowPageBreak"/>
      </w:pPr>
    </w:p>
    <w:p w:rsidR="00000000" w:rsidRPr="00A875B4" w:rsidP="00A875B4">
      <w:pPr>
        <w:pStyle w:val="Heading1"/>
      </w:pPr>
      <w:bookmarkStart w:id="6" w:name="O_1114084"/>
      <w:bookmarkEnd w:id="6"/>
      <w:r w:rsidRPr="00A875B4">
        <w:t>Foundation Skills</w:t>
      </w:r>
    </w:p>
    <w:p w:rsidR="00000000" w:rsidRPr="00A875B4" w:rsidP="002E5EC5">
      <w:pPr>
        <w:pStyle w:val="BodyText"/>
      </w:pPr>
      <w:r w:rsidRPr="00A875B4">
        <w:t xml:space="preserve">This section describes those language, literacy, numeracy and employment skills that are essential to performance. </w:t>
      </w:r>
    </w:p>
    <w:p w:rsidR="00000000" w:rsidRPr="00A875B4" w:rsidP="00A875B4">
      <w:pPr>
        <w:pStyle w:val="ListBullet"/>
      </w:pPr>
      <w:r w:rsidRPr="00A875B4">
        <w:t>Numeracy skills to interpret technical specifications and equipment readings.</w:t>
      </w:r>
    </w:p>
    <w:p w:rsidR="00000000" w:rsidRPr="00A875B4" w:rsidP="00A875B4">
      <w:pPr>
        <w:pStyle w:val="ListBullet"/>
      </w:pPr>
      <w:r w:rsidRPr="00A875B4">
        <w:t>Reading skills to interpret specifications and workplace procedures.</w:t>
      </w:r>
    </w:p>
    <w:p w:rsidR="00000000" w:rsidRPr="00A875B4" w:rsidP="00A875B4">
      <w:pPr>
        <w:pStyle w:val="ListBullet"/>
      </w:pPr>
      <w:r w:rsidRPr="00A875B4">
        <w:t>Writing and oral communication skills to record and report equipment preparation and process control variances.</w:t>
      </w:r>
    </w:p>
    <w:p w:rsidR="00000000" w:rsidRPr="00A875B4" w:rsidP="00A875B4">
      <w:pPr>
        <w:pStyle w:val="BodyText"/>
      </w:pPr>
    </w:p>
    <w:p w:rsidR="00000000" w:rsidRPr="002E5EC5" w:rsidP="002E5EC5">
      <w:pPr>
        <w:pStyle w:val="BodyText"/>
        <w:rPr>
          <w:i/>
        </w:rPr>
      </w:pPr>
      <w:r w:rsidRPr="002E5EC5">
        <w:rPr>
          <w:rStyle w:val="Emphasis"/>
        </w:rPr>
        <w:t>Other foundation skills essential to performance are explicit in the perfo</w:t>
      </w:r>
      <w:r w:rsidRPr="002E5EC5">
        <w:rPr>
          <w:rStyle w:val="Emphasis"/>
        </w:rPr>
        <w:t>rmance criteria of this unit of competency.</w:t>
      </w:r>
    </w:p>
    <w:p w:rsidR="00000000" w:rsidRPr="00A875B4" w:rsidP="00A875B4">
      <w:pPr>
        <w:pStyle w:val="Heading1"/>
      </w:pPr>
      <w:bookmarkStart w:id="7" w:name="O_1114086"/>
      <w:bookmarkEnd w:id="7"/>
      <w:r w:rsidRPr="00A875B4">
        <w:t>Unit Mapping Information</w:t>
      </w:r>
    </w:p>
    <w:p w:rsidR="00000000" w:rsidRPr="00A875B4" w:rsidP="002E5EC5">
      <w:pPr>
        <w:pStyle w:val="BodyText"/>
      </w:pPr>
      <w:r w:rsidRPr="00A875B4">
        <w:t>Supersedes and is equivalent to PMBPREP305 Change extrusion die and setup.</w:t>
      </w:r>
    </w:p>
    <w:p w:rsidR="00000000" w:rsidRPr="00A875B4" w:rsidP="00A875B4">
      <w:pPr>
        <w:pStyle w:val="Heading1"/>
      </w:pPr>
      <w:bookmarkStart w:id="8" w:name="O_1114093"/>
      <w:bookmarkEnd w:id="8"/>
      <w:r w:rsidRPr="00A875B4">
        <w:t>Links</w:t>
      </w:r>
    </w:p>
    <w:p w:rsidR="00000000" w:rsidRPr="00A875B4" w:rsidP="002E5EC5">
      <w:pPr>
        <w:pStyle w:val="BodyText"/>
      </w:pPr>
      <w:r w:rsidRPr="00A875B4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654EF9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A875B4" w:rsidP="00A875B4"/>
    <w:sectPr w:rsidSect="00A875B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5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5B4" w:rsidRPr="002E5EC5" w:rsidP="002E5E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5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EC5" w:rsidP="00A875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E5EC5" w:rsidP="00A875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E5EC5" w:rsidP="00A875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5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E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75B4" w:rsidRPr="002E5EC5" w:rsidP="002E5E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5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EC5" w:rsidRPr="002D2AF8" w:rsidP="00A875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PMBPREP305E Change extrusion die and calibrator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2E5EC5" w:rsidP="00A875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8CAB6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2EE2C8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75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75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75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75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75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75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75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75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75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75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75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75B4"/>
  </w:style>
  <w:style w:type="character" w:customStyle="1" w:styleId="Heading1Char">
    <w:name w:val="Heading 1 Char"/>
    <w:basedOn w:val="DefaultParagraphFont"/>
    <w:link w:val="Heading1"/>
    <w:rsid w:val="00A875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75B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75B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875B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875B4"/>
    <w:rPr>
      <w:b/>
      <w:spacing w:val="0"/>
    </w:rPr>
  </w:style>
  <w:style w:type="character" w:styleId="Emphasis">
    <w:name w:val="Emphasis"/>
    <w:basedOn w:val="DefaultParagraphFont"/>
    <w:qFormat/>
    <w:rsid w:val="00A875B4"/>
    <w:rPr>
      <w:i/>
    </w:rPr>
  </w:style>
  <w:style w:type="paragraph" w:customStyle="1" w:styleId="SuperHeading">
    <w:name w:val="SuperHeading"/>
    <w:basedOn w:val="Normal"/>
    <w:rsid w:val="00A875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75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875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75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75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75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75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75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75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75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75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75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75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75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75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75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75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75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75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75B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875B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875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875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75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75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875B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875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75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75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75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75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75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75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75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75B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875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75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75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75B4"/>
  </w:style>
  <w:style w:type="paragraph" w:styleId="TableofFigures">
    <w:name w:val="table of figures"/>
    <w:basedOn w:val="Normal"/>
    <w:next w:val="Normal"/>
    <w:semiHidden/>
    <w:rsid w:val="00A875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75B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875B4"/>
    <w:rPr>
      <w:rFonts w:ascii="Wingdings" w:hAnsi="Wingdings"/>
    </w:rPr>
  </w:style>
  <w:style w:type="paragraph" w:customStyle="1" w:styleId="TableHeading">
    <w:name w:val="Table Heading"/>
    <w:basedOn w:val="HeadingBase"/>
    <w:rsid w:val="00A875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75B4"/>
    <w:rPr>
      <w:color w:val="0033CC"/>
      <w:u w:val="none"/>
    </w:rPr>
  </w:style>
  <w:style w:type="paragraph" w:customStyle="1" w:styleId="BodyTextRight">
    <w:name w:val="Body Text Right"/>
    <w:basedOn w:val="BodyText"/>
    <w:rsid w:val="00A875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75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75B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75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75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75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75B4"/>
    <w:rPr>
      <w:sz w:val="32"/>
    </w:rPr>
  </w:style>
  <w:style w:type="paragraph" w:customStyle="1" w:styleId="HeadingProcedure">
    <w:name w:val="Heading Procedure"/>
    <w:basedOn w:val="HeadingBase"/>
    <w:next w:val="Normal"/>
    <w:rsid w:val="00A875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75B4"/>
    <w:pPr>
      <w:spacing w:before="60" w:after="60"/>
    </w:pPr>
  </w:style>
  <w:style w:type="paragraph" w:styleId="ListContinue">
    <w:name w:val="List Continue"/>
    <w:basedOn w:val="List"/>
    <w:rsid w:val="00A875B4"/>
    <w:pPr>
      <w:ind w:firstLine="0"/>
    </w:pPr>
  </w:style>
  <w:style w:type="paragraph" w:customStyle="1" w:styleId="ListNote">
    <w:name w:val="List Note"/>
    <w:basedOn w:val="List"/>
    <w:rsid w:val="00A875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75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75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75B4"/>
    <w:rPr>
      <w:rFonts w:ascii="Courier New" w:hAnsi="Courier New"/>
    </w:rPr>
  </w:style>
  <w:style w:type="paragraph" w:customStyle="1" w:styleId="NoteBullet">
    <w:name w:val="Note Bullet"/>
    <w:basedOn w:val="Note"/>
    <w:rsid w:val="00A875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75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75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75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75B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875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75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75B4"/>
    <w:rPr>
      <w:b/>
      <w:smallCaps/>
    </w:rPr>
  </w:style>
  <w:style w:type="paragraph" w:customStyle="1" w:styleId="TableListNumber">
    <w:name w:val="Table List Number"/>
    <w:basedOn w:val="ListNumber"/>
    <w:rsid w:val="00A875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75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75B4"/>
    <w:pPr>
      <w:numPr>
        <w:numId w:val="8"/>
      </w:numPr>
    </w:pPr>
  </w:style>
  <w:style w:type="paragraph" w:customStyle="1" w:styleId="ListAlpha2">
    <w:name w:val="List Alpha 2"/>
    <w:basedOn w:val="List2"/>
    <w:rsid w:val="00A875B4"/>
    <w:pPr>
      <w:numPr>
        <w:numId w:val="7"/>
      </w:numPr>
    </w:pPr>
  </w:style>
  <w:style w:type="paragraph" w:styleId="List2">
    <w:name w:val="List 2"/>
    <w:basedOn w:val="BodyText"/>
    <w:rsid w:val="00A875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75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75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75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75B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75B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875B4"/>
    <w:pPr>
      <w:numPr>
        <w:numId w:val="3"/>
      </w:numPr>
    </w:pPr>
  </w:style>
  <w:style w:type="paragraph" w:styleId="ListContinue2">
    <w:name w:val="List Continue 2"/>
    <w:basedOn w:val="List2"/>
    <w:rsid w:val="00A875B4"/>
    <w:pPr>
      <w:ind w:firstLine="0"/>
    </w:pPr>
  </w:style>
  <w:style w:type="paragraph" w:styleId="ListContinue3">
    <w:name w:val="List Continue 3"/>
    <w:basedOn w:val="List3"/>
    <w:rsid w:val="00A875B4"/>
    <w:pPr>
      <w:ind w:left="1021" w:firstLine="0"/>
    </w:pPr>
  </w:style>
  <w:style w:type="paragraph" w:styleId="ListContinue4">
    <w:name w:val="List Continue 4"/>
    <w:basedOn w:val="List4"/>
    <w:rsid w:val="00A875B4"/>
    <w:pPr>
      <w:ind w:firstLine="0"/>
    </w:pPr>
  </w:style>
  <w:style w:type="paragraph" w:styleId="ListContinue5">
    <w:name w:val="List Continue 5"/>
    <w:basedOn w:val="List5"/>
    <w:rsid w:val="00A875B4"/>
    <w:pPr>
      <w:ind w:firstLine="0"/>
    </w:pPr>
  </w:style>
  <w:style w:type="paragraph" w:styleId="ListNumber3">
    <w:name w:val="List Number 3"/>
    <w:basedOn w:val="List3"/>
    <w:rsid w:val="00A875B4"/>
    <w:pPr>
      <w:numPr>
        <w:numId w:val="4"/>
      </w:numPr>
    </w:pPr>
  </w:style>
  <w:style w:type="paragraph" w:styleId="ListNumber4">
    <w:name w:val="List Number 4"/>
    <w:basedOn w:val="List4"/>
    <w:rsid w:val="00A875B4"/>
    <w:pPr>
      <w:numPr>
        <w:numId w:val="5"/>
      </w:numPr>
    </w:pPr>
  </w:style>
  <w:style w:type="paragraph" w:styleId="ListNumber5">
    <w:name w:val="List Number 5"/>
    <w:basedOn w:val="List5"/>
    <w:rsid w:val="00A875B4"/>
    <w:pPr>
      <w:numPr>
        <w:numId w:val="6"/>
      </w:numPr>
    </w:pPr>
  </w:style>
  <w:style w:type="paragraph" w:styleId="BlockText">
    <w:name w:val="Block Text"/>
    <w:basedOn w:val="Normal"/>
    <w:rsid w:val="00A875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75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75B4"/>
    <w:rPr>
      <w:sz w:val="16"/>
      <w:vertAlign w:val="superscript"/>
    </w:rPr>
  </w:style>
  <w:style w:type="character" w:customStyle="1" w:styleId="Symbols">
    <w:name w:val="Symbols"/>
    <w:basedOn w:val="DefaultParagraphFont"/>
    <w:rsid w:val="00A875B4"/>
    <w:rPr>
      <w:rFonts w:ascii="Symbol" w:hAnsi="Symbol"/>
    </w:rPr>
  </w:style>
  <w:style w:type="character" w:customStyle="1" w:styleId="MenuOptions">
    <w:name w:val="Menu Options"/>
    <w:basedOn w:val="DefaultParagraphFont"/>
    <w:rsid w:val="00A875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75B4"/>
    <w:rPr>
      <w:b/>
    </w:rPr>
  </w:style>
  <w:style w:type="character" w:customStyle="1" w:styleId="Underlined">
    <w:name w:val="Underlined"/>
    <w:basedOn w:val="DefaultParagraphFont"/>
    <w:rsid w:val="00A875B4"/>
    <w:rPr>
      <w:u w:val="single"/>
    </w:rPr>
  </w:style>
  <w:style w:type="paragraph" w:customStyle="1" w:styleId="TableBodyTextRight">
    <w:name w:val="Table Body Text Right"/>
    <w:basedOn w:val="TableBodyText"/>
    <w:rsid w:val="00A875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75B4"/>
    <w:rPr>
      <w:sz w:val="18"/>
    </w:rPr>
  </w:style>
  <w:style w:type="paragraph" w:customStyle="1" w:styleId="BodySmallRight">
    <w:name w:val="Body Small Right"/>
    <w:basedOn w:val="BodyTextRight"/>
    <w:rsid w:val="00A875B4"/>
    <w:rPr>
      <w:sz w:val="18"/>
      <w:szCs w:val="18"/>
    </w:rPr>
  </w:style>
  <w:style w:type="paragraph" w:customStyle="1" w:styleId="MarginEdition">
    <w:name w:val="Margin Edition"/>
    <w:basedOn w:val="MarginNote"/>
    <w:rsid w:val="00A875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75B4"/>
    <w:rPr>
      <w:sz w:val="2"/>
      <w:szCs w:val="2"/>
    </w:rPr>
  </w:style>
  <w:style w:type="character" w:customStyle="1" w:styleId="Small">
    <w:name w:val="Small"/>
    <w:basedOn w:val="DefaultParagraphFont"/>
    <w:rsid w:val="00A875B4"/>
    <w:rPr>
      <w:sz w:val="16"/>
    </w:rPr>
  </w:style>
  <w:style w:type="paragraph" w:customStyle="1" w:styleId="WideTable">
    <w:name w:val="Wide Table"/>
    <w:basedOn w:val="Normal"/>
    <w:rsid w:val="00A875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75B4"/>
  </w:style>
  <w:style w:type="paragraph" w:styleId="Quote">
    <w:name w:val="Quote"/>
    <w:basedOn w:val="Heading1"/>
    <w:link w:val="QuoteChar"/>
    <w:qFormat/>
    <w:rsid w:val="00A875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75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75B4"/>
    <w:pPr>
      <w:pageBreakBefore/>
    </w:pPr>
  </w:style>
  <w:style w:type="paragraph" w:customStyle="1" w:styleId="Border">
    <w:name w:val="Border"/>
    <w:basedOn w:val="Normal"/>
    <w:qFormat/>
    <w:rsid w:val="00A875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75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75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75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75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75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75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75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75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75B4"/>
    <w:rPr>
      <w:u w:val="single"/>
    </w:rPr>
  </w:style>
  <w:style w:type="character" w:customStyle="1" w:styleId="BoldandItalics">
    <w:name w:val="Bold and Italics"/>
    <w:qFormat/>
    <w:rsid w:val="00A875B4"/>
    <w:rPr>
      <w:b/>
      <w:i/>
      <w:u w:val="none"/>
    </w:rPr>
  </w:style>
  <w:style w:type="paragraph" w:styleId="BalloonText">
    <w:name w:val="Balloon Text"/>
    <w:basedOn w:val="Normal"/>
    <w:link w:val="BalloonTextChar"/>
    <w:rsid w:val="00A875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75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75B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75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75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75B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75B4"/>
    <w:pPr>
      <w:spacing w:before="0" w:after="0"/>
    </w:pPr>
  </w:style>
  <w:style w:type="paragraph" w:customStyle="1" w:styleId="BodyTextBold">
    <w:name w:val="Body Text Bold"/>
    <w:basedOn w:val="BodyText"/>
    <w:qFormat/>
    <w:rsid w:val="00A875B4"/>
    <w:rPr>
      <w:b/>
    </w:rPr>
  </w:style>
  <w:style w:type="character" w:styleId="Hyperlink">
    <w:name w:val="Hyperlink"/>
    <w:basedOn w:val="DefaultParagraphFont"/>
    <w:uiPriority w:val="99"/>
    <w:unhideWhenUsed/>
    <w:rsid w:val="002E5E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551</Words>
  <Characters>3479</Characters>
  <Application>Microsoft Office Word</Application>
  <DocSecurity>0</DocSecurity>
  <Lines>99</Lines>
  <Paragraphs>64</Paragraphs>
  <ScaleCrop>false</ScaleCrop>
  <Company>Author-it Software Corporation Ltd.</Company>
  <LinksUpToDate>false</LinksUpToDate>
  <CharactersWithSpaces>3966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PMBPREP305E Change extrusion die and calibrator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2022-03-25T00:53:00Z</dcterms:created>
  <dcterms:modified xsi:type="dcterms:W3CDTF">2022-03-25T00:53:00Z</dcterms:modified>
</cp:coreProperties>
</file>